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  <w:lang w:val="ru-ru" w:eastAsia="en-us" w:bidi="ar-sa"/>
        </w:rPr>
      </w:pPr>
      <w:r>
        <w:rPr>
          <w:rFonts w:eastAsia="Times New Roman"/>
          <w:sz w:val="24"/>
          <w:szCs w:val="24"/>
          <w:lang w:val="ru-ru" w:eastAsia="en-us" w:bidi="ar-sa"/>
        </w:rPr>
        <w:t>Счет-договор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  <w:lang w:val="ru-ru" w:eastAsia="en-us" w:bidi="ar-sa"/>
        </w:rPr>
      </w:pPr>
      <w:r>
        <w:rPr>
          <w:rFonts w:eastAsia="Times New Roman"/>
          <w:sz w:val="24"/>
          <w:szCs w:val="24"/>
          <w:lang w:val="ru-ru" w:eastAsia="en-us" w:bidi="ar-sa"/>
        </w:rPr>
        <w:t>на поставку товаров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  <w:lang w:val="ru-ru" w:eastAsia="en-us" w:bidi="ar-sa"/>
        </w:rPr>
      </w:pPr>
      <w:r>
        <w:rPr>
          <w:rFonts w:eastAsia="Times New Roman"/>
          <w:sz w:val="24"/>
          <w:szCs w:val="24"/>
          <w:lang w:val="ru-ru" w:eastAsia="en-us" w:bidi="ar-sa"/>
        </w:rPr>
        <w:t>N 111</w:t>
      </w:r>
    </w:p>
    <w:p>
      <w:pPr>
        <w:ind w:firstLine="540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  <w:lang w:val="ru-ru" w:eastAsia="en-us" w:bidi="ar-sa"/>
        </w:rPr>
      </w:pPr>
      <w:r>
        <w:rPr>
          <w:rFonts w:eastAsia="Times New Roman"/>
          <w:sz w:val="24"/>
          <w:szCs w:val="24"/>
          <w:lang w:val="ru-ru" w:eastAsia="en-us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  <w:lang w:val="ru-ru" w:eastAsia="en-us" w:bidi="ar-sa"/>
        </w:rPr>
      </w:pPr>
      <w:r>
        <w:rPr>
          <w:rFonts w:eastAsia="Times New Roman"/>
          <w:sz w:val="24"/>
          <w:szCs w:val="24"/>
          <w:lang w:val="ru-ru" w:eastAsia="en-us" w:bidi="ar-sa"/>
        </w:rPr>
        <w:t>г.</w:t>
      </w:r>
      <w:r>
        <w:rPr>
          <w:rFonts w:eastAsia="Times New Roman"/>
          <w:sz w:val="24"/>
          <w:szCs w:val="24"/>
          <w:lang w:val="en-us" w:eastAsia="en-us" w:bidi="ar-sa"/>
        </w:rPr>
        <w:t> </w:t>
      </w:r>
      <w:r>
        <w:rPr>
          <w:rFonts w:eastAsia="Times New Roman"/>
          <w:sz w:val="24"/>
          <w:szCs w:val="24"/>
          <w:lang w:val="ru-ru" w:eastAsia="en-us" w:bidi="ar-sa"/>
        </w:rPr>
        <w:t>Москва 25</w:t>
      </w:r>
      <w:r>
        <w:rPr>
          <w:rFonts w:eastAsia="Times New Roman"/>
          <w:sz w:val="24"/>
          <w:szCs w:val="24"/>
          <w:lang w:val="en-us" w:eastAsia="en-us" w:bidi="ar-sa"/>
        </w:rPr>
        <w:t> </w:t>
      </w:r>
      <w:r>
        <w:rPr>
          <w:rFonts w:eastAsia="Times New Roman"/>
          <w:sz w:val="24"/>
          <w:szCs w:val="24"/>
          <w:lang w:val="ru-ru" w:eastAsia="en-us" w:bidi="ar-sa"/>
        </w:rPr>
        <w:t>сентября</w:t>
      </w:r>
      <w:r>
        <w:rPr>
          <w:rFonts w:eastAsia="Times New Roman"/>
          <w:sz w:val="24"/>
          <w:szCs w:val="24"/>
          <w:lang w:val="en-us" w:eastAsia="en-us" w:bidi="ar-sa"/>
        </w:rPr>
        <w:t> </w:t>
      </w:r>
      <w:r>
        <w:rPr>
          <w:rFonts w:eastAsia="Times New Roman"/>
          <w:sz w:val="24"/>
          <w:szCs w:val="24"/>
          <w:lang w:val="ru-ru" w:eastAsia="en-us" w:bidi="ar-sa"/>
        </w:rPr>
        <w:t>2021</w:t>
      </w:r>
      <w:r>
        <w:rPr>
          <w:rFonts w:eastAsia="Times New Roman"/>
          <w:sz w:val="24"/>
          <w:szCs w:val="24"/>
          <w:lang w:val="en-us" w:eastAsia="en-us" w:bidi="ar-sa"/>
        </w:rPr>
        <w:t> </w:t>
      </w:r>
      <w:r>
        <w:rPr>
          <w:rFonts w:eastAsia="Times New Roman"/>
          <w:sz w:val="24"/>
          <w:szCs w:val="24"/>
          <w:lang w:val="ru-ru" w:eastAsia="en-us" w:bidi="ar-sa"/>
        </w:rPr>
        <w:t>г.</w:t>
        <w:br w:type="textWrapping"/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Общество с ограниченной ответственностью "CLUBTK.RU", далее именуемое "Поставщик", в лице генерального директора Воронова Андрея Викторовича, действующего на основании решения общего собрания участников общества (протокол от 5 июня 2015 г. № 1) и в соответствии с уставом, с одной стороны и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общество с ограниченной ответственностью "Альфа", далее именуемое "Покупатель", в лице первого заместителя генерального директора Сидорова Сидора Сергеевича, действующего на основании доверенности от 4 февраля 2017 г. № 1333, с другой стороны, далее совместно именуемые "Стороны", заключили настоящий счет-договор (далее - Счет-договор) о нижеследующем: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1. В соответствии с настоящим Счетом-договором Поставщик обязуется поставить, а Покупатель принять и оплатить следующий товар:</w:t>
      </w:r>
    </w:p>
    <w:p>
      <w:r/>
    </w:p>
    <w:tbl>
      <w:tblPr>
        <w:name w:val="Таблица2"/>
        <w:tabOrder w:val="0"/>
        <w:jc w:val="left"/>
        <w:tblInd w:w="0" w:type="dxa"/>
        <w:tblW w:w="10773" w:type="dxa"/>
      </w:tblPr>
      <w:tblGrid>
        <w:gridCol w:w="568"/>
        <w:gridCol w:w="4252"/>
        <w:gridCol w:w="1134"/>
        <w:gridCol w:w="1559"/>
        <w:gridCol w:w="1418"/>
        <w:gridCol w:w="1842"/>
      </w:tblGrid>
      <w:tr>
        <w:trPr>
          <w:tblHeader w:val="0"/>
          <w:cantSplit w:val="0"/>
          <w:trHeight w:val="0" w:hRule="auto"/>
        </w:trPr>
        <w:tc>
          <w:tcPr>
            <w:tcW w:w="56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N п/п</w:t>
            </w:r>
          </w:p>
        </w:tc>
        <w:tc>
          <w:tcPr>
            <w:tcW w:w="425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Наименование товара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Единица</w:t>
            </w:r>
          </w:p>
        </w:tc>
        <w:tc>
          <w:tcPr>
            <w:tcW w:w="1559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Количество</w:t>
            </w:r>
          </w:p>
        </w:tc>
        <w:tc>
          <w:tcPr>
            <w:tcW w:w="1418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Цена в рублях</w:t>
            </w:r>
          </w:p>
        </w:tc>
        <w:tc>
          <w:tcPr>
            <w:tcW w:w="1842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Сумма</w:t>
            </w:r>
            <w:r>
              <w:rPr>
                <w:rFonts w:eastAsia="Times New Roman"/>
                <w:lang w:val="en-us" w:eastAsia="ru-ru" w:bidi="ar-sa"/>
              </w:rPr>
              <w:t xml:space="preserve"> </w:t>
            </w:r>
            <w:r>
              <w:rPr>
                <w:rFonts w:eastAsia="Times New Roman"/>
                <w:lang w:val="ru-ru" w:eastAsia="ru-ru" w:bidi="ar-sa"/>
              </w:rPr>
              <w:t>в рублях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1.</w:t>
            </w:r>
          </w:p>
        </w:tc>
        <w:tc>
          <w:tcPr>
            <w:tcW w:w="425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Картридж HP CF226X для принтера HP Laser Jet Pro М426fdn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черный оригинальный на 9 000 стр.</w:t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11 100</w:t>
            </w:r>
          </w:p>
        </w:tc>
        <w:tc>
          <w:tcPr>
            <w:tcW w:w="184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33 300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2.</w:t>
            </w:r>
          </w:p>
        </w:tc>
        <w:tc>
          <w:tcPr>
            <w:tcW w:w="425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Картридж DR-2175 для принтера BROTHER HL-2300DR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черный оригинальный на 12 000 стр.</w:t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5 600</w:t>
            </w:r>
          </w:p>
        </w:tc>
        <w:tc>
          <w:tcPr>
            <w:tcW w:w="184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28 000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31" w:type="dxa"/>
            <w:gridSpan w:val="5"/>
            <w:vMerge w:val="restart"/>
            <w:shd w:val="none"/>
            <w:tcMar>
              <w:top w:w="-12" w:type="dxa"/>
              <w:left w:w="62" w:type="dxa"/>
              <w:bottom w:w="-4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spacing/>
              <w:jc w:val="right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Сумма</w:t>
            </w:r>
          </w:p>
          <w:p>
            <w:pPr>
              <w:spacing/>
              <w:jc w:val="right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</w:r>
          </w:p>
          <w:p>
            <w:pPr>
              <w:spacing/>
              <w:jc w:val="right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Без налога (НДС)</w:t>
            </w:r>
          </w:p>
          <w:p>
            <w:pPr>
              <w:spacing/>
              <w:jc w:val="right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</w:r>
          </w:p>
          <w:p>
            <w:pPr>
              <w:spacing/>
              <w:jc w:val="right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Всего к оплате</w:t>
            </w:r>
          </w:p>
        </w:tc>
        <w:tc>
          <w:tcPr>
            <w:tcW w:w="184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61 300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31" w:type="dxa"/>
            <w:gridSpan w:val="5"/>
            <w:vMerge/>
            <w:shd w:val="none"/>
            <w:tcMar>
              <w:top w:w="-12" w:type="dxa"/>
              <w:left w:w="62" w:type="dxa"/>
              <w:bottom w:w="-4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/>
        </w:tc>
        <w:tc>
          <w:tcPr>
            <w:tcW w:w="184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31" w:type="dxa"/>
            <w:gridSpan w:val="5"/>
            <w:vMerge/>
            <w:shd w:val="none"/>
            <w:tcMar>
              <w:top w:w="-12" w:type="dxa"/>
              <w:left w:w="62" w:type="dxa"/>
              <w:bottom w:w="-4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/>
        </w:tc>
        <w:tc>
          <w:tcPr>
            <w:tcW w:w="184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61 300</w:t>
            </w:r>
          </w:p>
        </w:tc>
      </w:tr>
    </w:tbl>
    <w:p>
      <w:r/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2. Общая сумма Счета-договора составляет 61 300 (шестьдесят одна тысяча триста) руб., НДС не облагается на основании гл. 26.2 НК РФ.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3. Поставка осуществляется на условиях полной предоплаты товара по настоящему Счету-договору.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4. Товар отгружается по истечении трех рабочих дней с момента зачисления денег по данному Счету-договору на расчетный счет Поставщика.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5. Товар отгружается на условиях самовывоза со склада Поставщика, расположенного по адресу: ул. Андреева, д. 7, Москва. Режим работы склада: ежедневно, с 7:00 до 17:00.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6. Настоящий Счет-договор считается заключенным, если Покупатель оплатит либо подпишет и передаст его Поставщику в срок до 15 марта 2021 г. Если Счет-договор заключен путем подписания сторонами, Покупатель оплачивает товар в течение 3 рабочих дней с момента такого подписания.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7. Настоящий Счет-договор составлен в двух экземплярах, по одному для каждой из Сторон.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>8. Реквизиты и подписи Сторон:</w:t>
      </w:r>
    </w:p>
    <w:p>
      <w:r/>
    </w:p>
    <w:tbl>
      <w:tblPr>
        <w:name w:val="Таблица1"/>
        <w:tabOrder w:val="0"/>
        <w:jc w:val="left"/>
        <w:tblInd w:w="0" w:type="dxa"/>
        <w:tblW w:w="10773" w:type="dxa"/>
      </w:tblPr>
      <w:tblGrid>
        <w:gridCol w:w="5385"/>
        <w:gridCol w:w="5388"/>
      </w:tblGrid>
      <w:tr>
        <w:trPr>
          <w:tblHeader w:val="0"/>
          <w:cantSplit w:val="0"/>
          <w:trHeight w:val="0" w:hRule="auto"/>
        </w:trPr>
        <w:tc>
          <w:tcPr>
            <w:tcW w:w="53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en-us" w:bidi="ar-sa"/>
              </w:rPr>
              <w:t>Поставщик:</w:t>
            </w: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en-us" w:bidi="ar-sa"/>
              </w:rPr>
              <w:t>Покупатель:</w: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lang w:val="ru-ru" w:eastAsia="ru-ru" w:bidi="ar-sa"/>
              </w:rPr>
            </w:pPr>
            <w:r>
              <w:rPr>
                <w:rFonts w:ascii="Calibri" w:hAnsi="Calibri" w:eastAsia="Calibri"/>
                <w:lang w:val="ru-ru" w:eastAsia="ru-ru" w:bidi="ar-sa"/>
              </w:rPr>
              <w:t>Общество с ограниченной ответственностью "CLUBTK.RU"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Адрес: ул. Правды, д. 1, Санкт-Петербург, 115321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Телефон: +7 (901) 321-12-34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Электронная почта: info@CTC.ru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ОГРН 1087741512597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ИНН 7701234567 КПП 770101001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Р/с 40702810101987612543 в АКБ "БАНК" (ПАО)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К/с 30101810121110198765</w:t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БИК 044514765</w:t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Генеральный директор</w:t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spacing/>
              <w:contextualSpacing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_______________ /А.В.Воронов/</w:t>
              <w:br w:type="textWrapping"/>
            </w:r>
          </w:p>
          <w:p>
            <w:pPr>
              <w:spacing/>
              <w:contextual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М.П.</w: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2827564" protected="0"/>
          </w:tcPr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Общество с ограниченной ответственностью "Альфа"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Адрес: ул. Промышленная, д. 67, Масква, 123456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Телефон: +7 (812) 123-65-56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Электронная почта: info@company.ru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ОГРН 1097854321132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ИНН 7807654123 КПП 780101001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Р/с 40702810101987824657 в АКБ "Финансы" (ПАО)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К/с 30101810121110917856</w:t>
            </w:r>
          </w:p>
          <w:p>
            <w:pPr>
              <w:contextualSpacing/>
              <w:keepNext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БИК 044514856</w:t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Первый заместитель генерального директора по доверенности</w:t>
            </w:r>
          </w:p>
          <w:p>
            <w:pPr>
              <w:contextualSpacing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r>
          </w:p>
          <w:p>
            <w:pPr>
              <w:spacing/>
              <w:contextualSpacing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_______________ /С.С.Сидоров/</w:t>
              <w:br w:type="textWrapping"/>
            </w:r>
          </w:p>
          <w:p>
            <w:pPr>
              <w:spacing/>
              <w:contextual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eastAsia="Calibri"/>
                <w:sz w:val="22"/>
                <w:szCs w:val="22"/>
                <w:lang w:val="ru-ru" w:eastAsia="ru-ru" w:bidi="ar-sa"/>
              </w:rPr>
              <w:t>М.П.</w: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  <w:lang w:val="ru-ru" w:eastAsia="ru-ru" w:bidi="ar-sa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57" w:top="170" w:right="228" w:bottom="285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139"/>
    </w:tmLastPosCaret>
    <w:tmLastPosAnchor>
      <w:tmLastPosPgfIdx w:val="0"/>
      <w:tmLastPosIdx w:val="0"/>
    </w:tmLastPosAnchor>
    <w:tmLastPosTblRect w:left="0" w:top="0" w:right="0" w:bottom="0"/>
  </w:tmLastPos>
  <w:tmAppRevision w:date="163282756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2021-09-28T11:05:52Z</dcterms:created>
  <dcterms:modified xsi:type="dcterms:W3CDTF">2021-09-28T11:12:44Z</dcterms:modified>
</cp:coreProperties>
</file>