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baseline"/>
        </w:rPr>
        <w:t xml:space="preserve">Отчет об оценке эффективности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baseline"/>
        </w:rPr>
        <w:t>оциального контракта</w:t>
      </w:r>
    </w:p>
    <w:tbl>
      <w:tblPr>
        <w:tblStyle w:val="5"/>
        <w:tblW w:w="7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1890"/>
        <w:gridCol w:w="1597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Сведения о среднедушевом доходе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 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олучателя (его семьи) до заключения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оциального контракта (за три месяца, предшествующих месяцу подачи заявления о заключении социального контракта), руб.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Сведения о среднедушевом доходе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олучателя (его семьи) после заключения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оциального контракта (за три месяца, следующие после месяца окончания социального контракта), руб.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Величина, на которую увеличился среднедушевой доход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олучателя (его семьи) &lt;*&gt;, руб.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Величина, на которую среднедушевой доход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олучателя (его семьи) превысил величину прожиточного минимума, установленную законодательством области на дату составления отчета &lt;*&gt;, руб.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  <w:sz w:val="24"/>
          <w:szCs w:val="24"/>
        </w:rPr>
      </w:pPr>
    </w:p>
    <w:tbl>
      <w:tblPr>
        <w:tblStyle w:val="5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831"/>
        <w:gridCol w:w="2848"/>
        <w:gridCol w:w="2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--------------------------------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&lt;*&gt; В случае, если рассчитанное значение показателя имеет отрицательное значение, в графах 3 и 4 ставится прочерк.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Описание условий жизни гражданина (семьи гражданина):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Выводы об эффективности настоящего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оциального контракта, предложения и рекомендации о целесообразности заключения нового социального контракта (при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наличии):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Дата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__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»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____________ 20__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     (подпись специалиста, сопровождающего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олучателя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     (его семью) в период действия </w:t>
            </w:r>
            <w:r>
              <w:rPr>
                <w:rFonts w:hint="default" w:cs="Times New Roman"/>
                <w:color w:val="auto"/>
                <w:sz w:val="24"/>
                <w:szCs w:val="24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оциального контракта)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  (подпись заведующего отделением срочного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социального обслуживания)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F7171"/>
    <w:rsid w:val="2C9F7171"/>
    <w:rsid w:val="43201D7A"/>
    <w:rsid w:val="5D1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2021-09-29T05:35:00Z</dcterms:created>
  <dc:creator>odayn</dc:creator>
  <cp:lastModifiedBy>odayn</cp:lastModifiedBy>
  <dcterms:modified xsi:type="dcterms:W3CDTF">2021-09-29T05:38:55Z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