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925926">
        <w:rPr>
          <w:sz w:val="28"/>
          <w:szCs w:val="28"/>
        </w:rPr>
        <w:t>12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C9687E" w:rsidRDefault="005A3386" w:rsidP="00C968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193965">
        <w:rPr>
          <w:sz w:val="28"/>
          <w:szCs w:val="28"/>
        </w:rPr>
        <w:t xml:space="preserve"> </w:t>
      </w:r>
      <w:r w:rsidR="00FA05D0" w:rsidRPr="001E5F3D">
        <w:rPr>
          <w:sz w:val="28"/>
          <w:szCs w:val="28"/>
        </w:rPr>
        <w:t>здани</w:t>
      </w:r>
      <w:r w:rsidR="00C9687E">
        <w:rPr>
          <w:sz w:val="28"/>
          <w:szCs w:val="28"/>
        </w:rPr>
        <w:t>й</w:t>
      </w:r>
      <w:r w:rsidR="00FA05D0" w:rsidRPr="001E5F3D">
        <w:rPr>
          <w:sz w:val="28"/>
          <w:szCs w:val="28"/>
        </w:rPr>
        <w:t xml:space="preserve"> </w:t>
      </w:r>
      <w:r w:rsidR="00C9687E">
        <w:rPr>
          <w:rFonts w:eastAsiaTheme="minorHAnsi"/>
          <w:sz w:val="28"/>
          <w:szCs w:val="28"/>
          <w:lang w:eastAsia="en-US"/>
        </w:rPr>
        <w:t xml:space="preserve">религиозного назначения </w:t>
      </w:r>
      <w:r w:rsidR="00265D46" w:rsidRPr="001E5F3D">
        <w:rPr>
          <w:sz w:val="28"/>
          <w:szCs w:val="28"/>
        </w:rPr>
        <w:t>(</w:t>
      </w:r>
      <w:r w:rsidR="00FA05D0" w:rsidRPr="00A1414F">
        <w:rPr>
          <w:sz w:val="28"/>
          <w:szCs w:val="28"/>
        </w:rPr>
        <w:t xml:space="preserve">класс функциональной пожарной опасности </w:t>
      </w:r>
      <w:r w:rsidR="00FA05D0" w:rsidRPr="001E5F3D">
        <w:rPr>
          <w:sz w:val="28"/>
          <w:szCs w:val="28"/>
        </w:rPr>
        <w:t>Ф</w:t>
      </w:r>
      <w:r w:rsidR="00FA05D0">
        <w:rPr>
          <w:sz w:val="28"/>
          <w:szCs w:val="28"/>
        </w:rPr>
        <w:t>3.</w:t>
      </w:r>
      <w:r w:rsidR="00C9687E">
        <w:rPr>
          <w:sz w:val="28"/>
          <w:szCs w:val="28"/>
        </w:rPr>
        <w:t>7</w:t>
      </w:r>
      <w:r w:rsidR="00265D46" w:rsidRPr="001E5F3D">
        <w:rPr>
          <w:sz w:val="28"/>
          <w:szCs w:val="28"/>
        </w:rPr>
        <w:t>)</w:t>
      </w:r>
      <w:r w:rsidR="00F50AE1" w:rsidRPr="001E5F3D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201709">
        <w:rPr>
          <w:sz w:val="28"/>
          <w:szCs w:val="28"/>
        </w:rPr>
        <w:t>его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193965" w:rsidRPr="001D709B" w:rsidRDefault="00193965" w:rsidP="0019396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193965" w:rsidRPr="001D709B" w:rsidRDefault="00193965" w:rsidP="00193965">
      <w:pPr>
        <w:jc w:val="both"/>
        <w:rPr>
          <w:sz w:val="28"/>
          <w:szCs w:val="28"/>
        </w:rPr>
      </w:pPr>
    </w:p>
    <w:p w:rsidR="00193965" w:rsidRPr="001D709B" w:rsidRDefault="00193965" w:rsidP="00193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193965" w:rsidRPr="001D709B" w:rsidRDefault="00193965" w:rsidP="00193965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B9412E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193965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5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1D709B" w:rsidRDefault="00193965" w:rsidP="00193965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C8466C" w:rsidRPr="006A2BF8" w:rsidTr="00C8466C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C8466C" w:rsidRPr="006A2BF8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  <w:t xml:space="preserve">№ </w:t>
            </w:r>
          </w:p>
          <w:p w:rsidR="00C8466C" w:rsidRPr="006A2BF8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C8466C" w:rsidRPr="006A2BF8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C8466C" w:rsidRPr="006A2BF8" w:rsidRDefault="00C8466C" w:rsidP="00C8466C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</w:p>
          <w:p w:rsidR="00C8466C" w:rsidRPr="006A2BF8" w:rsidRDefault="00C8466C" w:rsidP="00C8466C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C8466C" w:rsidRPr="006A2BF8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C8466C" w:rsidRPr="006A2BF8" w:rsidTr="00C8466C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C8466C" w:rsidRPr="006A2BF8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C8466C" w:rsidRPr="006A2BF8" w:rsidTr="00C8466C">
        <w:trPr>
          <w:trHeight w:val="61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19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>
              <w:t>ой</w:t>
            </w:r>
            <w:r w:rsidRPr="006A2BF8">
              <w:t xml:space="preserve"> установк</w:t>
            </w:r>
            <w:r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812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6A2BF8">
              <w:t>пожаровзрывоопасных</w:t>
            </w:r>
            <w:proofErr w:type="spellEnd"/>
            <w:r w:rsidRPr="006A2BF8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hRule="exact" w:val="810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C8466C" w:rsidRPr="006A2BF8" w:rsidRDefault="00C8466C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hRule="exact" w:val="28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C8466C" w:rsidRPr="006A2BF8" w:rsidRDefault="00C8466C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hRule="exact" w:val="27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C8466C" w:rsidRPr="006A2BF8" w:rsidRDefault="00C8466C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hRule="exact" w:val="280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C8466C" w:rsidRPr="006A2BF8" w:rsidRDefault="00C8466C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621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631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05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8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47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762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7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электрических кабелей и проводов 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7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DE5720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DE5720">
              <w:rPr>
                <w:sz w:val="24"/>
                <w:szCs w:val="24"/>
              </w:rPr>
              <w:t>противодымных</w:t>
            </w:r>
            <w:proofErr w:type="spellEnd"/>
            <w:r w:rsidRPr="00DE5720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DE5720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DE5720">
              <w:rPr>
                <w:sz w:val="24"/>
                <w:szCs w:val="24"/>
              </w:rPr>
              <w:t>самозакрывания</w:t>
            </w:r>
            <w:proofErr w:type="spellEnd"/>
            <w:r w:rsidRPr="00DE5720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1D709B" w:rsidRDefault="00C8466C" w:rsidP="00C8466C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C8466C" w:rsidRPr="001D709B" w:rsidRDefault="00C8466C" w:rsidP="00C8466C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C8466C" w:rsidRPr="001D709B" w:rsidRDefault="00C8466C" w:rsidP="00C8466C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53"/>
          <w:jc w:val="center"/>
        </w:trPr>
        <w:tc>
          <w:tcPr>
            <w:tcW w:w="924" w:type="dxa"/>
            <w:vMerge w:val="restart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3A36F4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51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3A36F4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</w:t>
            </w:r>
            <w:proofErr w:type="gramStart"/>
            <w:r w:rsidRPr="003A36F4">
              <w:rPr>
                <w:color w:val="000000"/>
              </w:rPr>
              <w:t>2</w:t>
            </w:r>
            <w:proofErr w:type="gramEnd"/>
            <w:r w:rsidRPr="003A36F4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12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3A36F4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</w:t>
            </w:r>
            <w:proofErr w:type="gramStart"/>
            <w:r w:rsidRPr="003A36F4">
              <w:rPr>
                <w:color w:val="000000"/>
              </w:rPr>
              <w:t>2</w:t>
            </w:r>
            <w:proofErr w:type="gramEnd"/>
            <w:r w:rsidRPr="003A36F4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12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3A36F4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3A36F4" w:rsidRDefault="00C8466C" w:rsidP="00C8466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  <w:proofErr w:type="gramEnd"/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уборку помещений и стирку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rPr>
                <w:color w:val="000000"/>
              </w:rPr>
              <w:t xml:space="preserve">Соблюдается ли запрет на </w:t>
            </w:r>
            <w:r w:rsidRPr="00985012">
              <w:t>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rPr>
                <w:sz w:val="24"/>
                <w:szCs w:val="24"/>
              </w:rPr>
            </w:pPr>
            <w:r w:rsidRPr="00985012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99"/>
          <w:jc w:val="center"/>
        </w:trPr>
        <w:tc>
          <w:tcPr>
            <w:tcW w:w="924" w:type="dxa"/>
            <w:vMerge w:val="restart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97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97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61"/>
          <w:jc w:val="center"/>
        </w:trPr>
        <w:tc>
          <w:tcPr>
            <w:tcW w:w="924" w:type="dxa"/>
            <w:vMerge w:val="restart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933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361"/>
          <w:jc w:val="center"/>
        </w:trPr>
        <w:tc>
          <w:tcPr>
            <w:tcW w:w="924" w:type="dxa"/>
            <w:vMerge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rPr>
                <w:spacing w:val="1"/>
              </w:rPr>
              <w:t xml:space="preserve">Соблюдается ли запрет </w:t>
            </w:r>
            <w:r w:rsidRPr="00985012">
              <w:t>при проведении мероприятий с массовым пребыванием людей в помещении</w:t>
            </w:r>
            <w:r w:rsidRPr="00985012">
              <w:rPr>
                <w:spacing w:val="1"/>
              </w:rPr>
              <w:t xml:space="preserve"> (50 человек и более) </w:t>
            </w:r>
            <w:proofErr w:type="gramStart"/>
            <w:r w:rsidRPr="00985012">
              <w:rPr>
                <w:spacing w:val="1"/>
              </w:rPr>
              <w:t>на</w:t>
            </w:r>
            <w:proofErr w:type="gramEnd"/>
            <w:r w:rsidRPr="00985012">
              <w:t>:</w:t>
            </w:r>
          </w:p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 xml:space="preserve">- 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985012">
              <w:t>пожаровзрывоопасных</w:t>
            </w:r>
            <w:proofErr w:type="spellEnd"/>
            <w:r w:rsidRPr="00985012">
              <w:t xml:space="preserve"> работ?</w:t>
            </w:r>
          </w:p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>- уменьшение ширины проходов между рядами и установку в проходах дополнительных кресел, стульев и др.?</w:t>
            </w:r>
          </w:p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t>- полное выключение света в помещении во время спектаклей или представлений?</w:t>
            </w:r>
          </w:p>
          <w:p w:rsidR="00C8466C" w:rsidRPr="00985012" w:rsidRDefault="00C8466C" w:rsidP="00C8466C">
            <w:pPr>
              <w:pStyle w:val="ConsPlusNormal"/>
              <w:spacing w:after="60"/>
              <w:jc w:val="both"/>
            </w:pPr>
            <w:r w:rsidRPr="00985012">
              <w:lastRenderedPageBreak/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 xml:space="preserve">Соблюдается ли требование о размещении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3561" w:type="dxa"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85012" w:rsidRDefault="00C8466C" w:rsidP="00C8466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требование, согласно которому светофильтры для прожекторов и софитов должны быть из негорючих материалов?</w:t>
            </w:r>
          </w:p>
        </w:tc>
        <w:tc>
          <w:tcPr>
            <w:tcW w:w="3561" w:type="dxa"/>
          </w:tcPr>
          <w:p w:rsidR="00C8466C" w:rsidRDefault="00C8466C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1903CE" w:rsidRPr="006A2BF8" w:rsidTr="001903CE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</w:tcPr>
          <w:p w:rsidR="001903CE" w:rsidRPr="001903CE" w:rsidRDefault="001903CE" w:rsidP="001903C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1903CE">
              <w:rPr>
                <w:rFonts w:eastAsiaTheme="minorHAnsi"/>
                <w:sz w:val="24"/>
                <w:szCs w:val="24"/>
                <w:lang w:eastAsia="en-US"/>
              </w:rPr>
              <w:t>Имеется ли огнетушитель (не менее одного) в части здания (помещения), предназначенной для размещения священнослужителей во время богослужения?</w:t>
            </w:r>
          </w:p>
        </w:tc>
        <w:tc>
          <w:tcPr>
            <w:tcW w:w="3561" w:type="dxa"/>
            <w:shd w:val="clear" w:color="auto" w:fill="auto"/>
          </w:tcPr>
          <w:p w:rsidR="001903CE" w:rsidRPr="001903CE" w:rsidRDefault="001903CE" w:rsidP="001903CE">
            <w:pPr>
              <w:rPr>
                <w:sz w:val="24"/>
                <w:szCs w:val="24"/>
              </w:rPr>
            </w:pPr>
            <w:r w:rsidRPr="001903CE">
              <w:rPr>
                <w:sz w:val="24"/>
                <w:szCs w:val="24"/>
              </w:rPr>
              <w:t xml:space="preserve">Пункт </w:t>
            </w:r>
            <w:r w:rsidRPr="001903CE">
              <w:rPr>
                <w:rFonts w:eastAsiaTheme="minorHAnsi"/>
                <w:sz w:val="24"/>
                <w:szCs w:val="24"/>
                <w:lang w:eastAsia="en-US"/>
              </w:rPr>
              <w:t>493</w:t>
            </w:r>
            <w:r w:rsidRPr="001903CE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1903CE">
        <w:trPr>
          <w:trHeight w:val="485"/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1903CE" w:rsidRDefault="001903CE" w:rsidP="001903CE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1903CE">
              <w:rPr>
                <w:rFonts w:eastAsiaTheme="minorHAnsi"/>
                <w:sz w:val="24"/>
                <w:szCs w:val="24"/>
                <w:lang w:eastAsia="en-US"/>
              </w:rPr>
              <w:t>Предусмотрена ли телефонная связь в помещениях охраны, постоянного дежурства персонала должна?</w:t>
            </w:r>
          </w:p>
        </w:tc>
        <w:tc>
          <w:tcPr>
            <w:tcW w:w="3561" w:type="dxa"/>
          </w:tcPr>
          <w:p w:rsidR="001903CE" w:rsidRDefault="001903CE" w:rsidP="001903CE">
            <w:pPr>
              <w:rPr>
                <w:sz w:val="24"/>
                <w:szCs w:val="24"/>
              </w:rPr>
            </w:pPr>
            <w:r w:rsidRPr="001903CE">
              <w:rPr>
                <w:sz w:val="24"/>
                <w:szCs w:val="24"/>
              </w:rPr>
              <w:t xml:space="preserve">Пункт </w:t>
            </w:r>
            <w:r w:rsidRPr="001903CE">
              <w:rPr>
                <w:rFonts w:eastAsiaTheme="minorHAnsi"/>
                <w:sz w:val="24"/>
                <w:szCs w:val="24"/>
                <w:lang w:eastAsia="en-US"/>
              </w:rPr>
              <w:t>494</w:t>
            </w:r>
            <w:r w:rsidRPr="001903CE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Default="001903CE" w:rsidP="00190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хранятся ли в помещениях молельных залов горючие жидкости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 предназначенные для проведения обрядов?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31AB6" w:rsidRDefault="001903CE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Хранение горючих жидкостей, предназначенных для проведения обрядов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осуществляется в специально оборудованных местах?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Запасы горючих жидкостей, предназначенных для проведения обрядов,  в молельном зале не превышают суточную потребность, а именно:</w:t>
            </w:r>
          </w:p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более 20 литров - для помещений с отделкой из негорючих материалов;</w:t>
            </w:r>
          </w:p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более 5 литров - для остальных помещений.</w:t>
            </w:r>
          </w:p>
        </w:tc>
        <w:tc>
          <w:tcPr>
            <w:tcW w:w="3561" w:type="dxa"/>
          </w:tcPr>
          <w:p w:rsidR="00931AB6" w:rsidRPr="00931AB6" w:rsidRDefault="00931AB6"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хранятся ли горючие жидкости, предназначенные для проведения обрядов,  в молельных залах в стеклянной таре?</w:t>
            </w:r>
          </w:p>
        </w:tc>
        <w:tc>
          <w:tcPr>
            <w:tcW w:w="3561" w:type="dxa"/>
          </w:tcPr>
          <w:p w:rsidR="00931AB6" w:rsidRPr="00931AB6" w:rsidRDefault="00931AB6"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Розлив горючих жидкостей в лампады и светильники должен осуществляется из закрытой небьющейся емкости?</w:t>
            </w:r>
          </w:p>
        </w:tc>
        <w:tc>
          <w:tcPr>
            <w:tcW w:w="3561" w:type="dxa"/>
          </w:tcPr>
          <w:p w:rsidR="00931AB6" w:rsidRPr="00931AB6" w:rsidRDefault="00931AB6"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Соблюдается ли размещение электронагревательных приборов на расстоянии не менее 1 метра до мест розлива горючих жидкостей?</w:t>
            </w:r>
          </w:p>
        </w:tc>
        <w:tc>
          <w:tcPr>
            <w:tcW w:w="3561" w:type="dxa"/>
          </w:tcPr>
          <w:p w:rsidR="00931AB6" w:rsidRPr="00931AB6" w:rsidRDefault="00931AB6"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>провод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ятся ли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пожароопасные работы в здании (помещении) в присутствии прихожан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496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Осуществляется ли ежедневная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проверка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пут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ей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эвакуации людей, эвакуационны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и аварийны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выход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и приведены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ли они в соответствие с требованиями 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>Правил.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497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Предусмотрены ли дополнительные организационные противопожарные мероприятия п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>ри проведении праздничных богослужений с массовым пребыванием людей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?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498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31AB6" w:rsidRDefault="00931AB6" w:rsidP="00931AB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Соблюдается ли требование об установке п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>одсвечник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>, светильник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и други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с открытым огнем на негорючее основание в устойчивом положении, </w:t>
            </w:r>
            <w:r w:rsidR="001903CE" w:rsidRPr="00931A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исключающем их опрокидывание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Pr="00931AB6" w:rsidRDefault="001903CE" w:rsidP="001903CE">
            <w:pPr>
              <w:rPr>
                <w:sz w:val="24"/>
                <w:szCs w:val="24"/>
              </w:rPr>
            </w:pPr>
            <w:r w:rsidRPr="00931AB6">
              <w:rPr>
                <w:sz w:val="24"/>
                <w:szCs w:val="24"/>
              </w:rPr>
              <w:lastRenderedPageBreak/>
              <w:t xml:space="preserve">Пункт 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931AB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AA7E42" w:rsidP="00AA7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Соблюдается ли требование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 установке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>азожженны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 xml:space="preserve"> кадил во время проведения богослужения только на негорючее основание в специально отведенном месте с отделкой из негорючих материалов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931AB6" w:rsidRPr="00AA7E42" w:rsidRDefault="00931AB6">
            <w:r w:rsidRPr="00AA7E42">
              <w:rPr>
                <w:sz w:val="24"/>
                <w:szCs w:val="24"/>
              </w:rPr>
              <w:t xml:space="preserve">Пункт </w:t>
            </w: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AA7E4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931AB6" w:rsidRPr="006A2BF8" w:rsidTr="00C8466C">
        <w:trPr>
          <w:jc w:val="center"/>
        </w:trPr>
        <w:tc>
          <w:tcPr>
            <w:tcW w:w="924" w:type="dxa"/>
          </w:tcPr>
          <w:p w:rsidR="00931AB6" w:rsidRPr="006A2BF8" w:rsidRDefault="00931AB6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1AB6" w:rsidRDefault="00AA7E42" w:rsidP="00AA7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>Соблюдается 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 xml:space="preserve">асстояние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менее 0,5 метра </w:t>
            </w:r>
            <w:r w:rsidR="00931AB6">
              <w:rPr>
                <w:rFonts w:eastAsiaTheme="minorHAnsi"/>
                <w:sz w:val="24"/>
                <w:szCs w:val="24"/>
                <w:lang w:eastAsia="en-US"/>
              </w:rPr>
              <w:t>от места установки разожженного кадила до предметов отделки помещения и интерьера, одежды и других предметов, выполненных из горючих материалов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931AB6" w:rsidRPr="00AA7E42" w:rsidRDefault="00931AB6">
            <w:r w:rsidRPr="00AA7E42">
              <w:rPr>
                <w:sz w:val="24"/>
                <w:szCs w:val="24"/>
              </w:rPr>
              <w:t xml:space="preserve">Пункт </w:t>
            </w: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AA7E4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31AB6" w:rsidRPr="006A2BF8" w:rsidRDefault="00931AB6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AA7E42" w:rsidRDefault="00AA7E42" w:rsidP="00AA7E4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Соблюдается ли требование о запрете размещения</w:t>
            </w:r>
            <w:r w:rsidR="001903CE" w:rsidRPr="00AA7E42">
              <w:rPr>
                <w:rFonts w:eastAsiaTheme="minorHAnsi"/>
                <w:sz w:val="24"/>
                <w:szCs w:val="24"/>
                <w:lang w:eastAsia="en-US"/>
              </w:rPr>
              <w:t xml:space="preserve"> вешал</w:t>
            </w: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ок</w:t>
            </w:r>
            <w:r w:rsidR="001903CE" w:rsidRPr="00AA7E42">
              <w:rPr>
                <w:rFonts w:eastAsiaTheme="minorHAnsi"/>
                <w:sz w:val="24"/>
                <w:szCs w:val="24"/>
                <w:lang w:eastAsia="en-US"/>
              </w:rPr>
              <w:t xml:space="preserve"> для одежды прихожан и мест для хранения одежды в непосредственной близости (менее 1,5 метра) от подсвечников и источников открытого огня, от печей и вытяжек из печей</w:t>
            </w: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Pr="00AA7E42" w:rsidRDefault="001903CE" w:rsidP="001903CE">
            <w:pPr>
              <w:rPr>
                <w:sz w:val="24"/>
                <w:szCs w:val="24"/>
              </w:rPr>
            </w:pPr>
            <w:r w:rsidRPr="00AA7E42">
              <w:rPr>
                <w:sz w:val="24"/>
                <w:szCs w:val="24"/>
              </w:rPr>
              <w:t xml:space="preserve">Пункт </w:t>
            </w:r>
            <w:r w:rsidRPr="00AA7E42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Pr="00AA7E4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985012" w:rsidRDefault="00AA7E42" w:rsidP="00AA7E4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31AB6">
              <w:rPr>
                <w:rFonts w:eastAsiaTheme="minorHAnsi"/>
                <w:sz w:val="24"/>
                <w:szCs w:val="24"/>
                <w:lang w:eastAsia="en-US"/>
              </w:rPr>
              <w:t xml:space="preserve">Соблюдается ли требование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к</w:t>
            </w:r>
            <w:r w:rsidR="001903CE">
              <w:rPr>
                <w:rFonts w:eastAsiaTheme="minorHAnsi"/>
                <w:sz w:val="24"/>
                <w:szCs w:val="24"/>
                <w:lang w:eastAsia="en-US"/>
              </w:rPr>
              <w:t>реплени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903CE">
              <w:rPr>
                <w:rFonts w:eastAsiaTheme="minorHAnsi"/>
                <w:sz w:val="24"/>
                <w:szCs w:val="24"/>
                <w:lang w:eastAsia="en-US"/>
              </w:rPr>
              <w:t xml:space="preserve"> к полу ковров и ковровых дорожек,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исключением</w:t>
            </w:r>
            <w:r w:rsidR="001903CE">
              <w:rPr>
                <w:rFonts w:eastAsiaTheme="minorHAnsi"/>
                <w:sz w:val="24"/>
                <w:szCs w:val="24"/>
                <w:lang w:eastAsia="en-US"/>
              </w:rPr>
              <w:t xml:space="preserve"> используемых только во время богослужений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Default="001903CE" w:rsidP="0019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501</w:t>
            </w:r>
            <w:r w:rsidRPr="00C8466C">
              <w:rPr>
                <w:sz w:val="24"/>
                <w:szCs w:val="24"/>
                <w:highlight w:val="yellow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331162" w:rsidRDefault="00444779" w:rsidP="00444779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Соблюдается ли требование о в</w:t>
            </w:r>
            <w:r w:rsidR="001903CE" w:rsidRPr="00331162">
              <w:rPr>
                <w:rFonts w:eastAsiaTheme="minorHAnsi"/>
                <w:sz w:val="24"/>
                <w:szCs w:val="24"/>
                <w:lang w:eastAsia="en-US"/>
              </w:rPr>
              <w:t>ременно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1903CE" w:rsidRPr="00331162">
              <w:rPr>
                <w:rFonts w:eastAsiaTheme="minorHAnsi"/>
                <w:sz w:val="24"/>
                <w:szCs w:val="24"/>
                <w:lang w:eastAsia="en-US"/>
              </w:rPr>
              <w:t xml:space="preserve"> размещ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ении</w:t>
            </w:r>
            <w:r w:rsidR="001903CE" w:rsidRPr="00331162">
              <w:rPr>
                <w:rFonts w:eastAsiaTheme="minorHAnsi"/>
                <w:sz w:val="24"/>
                <w:szCs w:val="24"/>
                <w:lang w:eastAsia="en-US"/>
              </w:rPr>
              <w:t xml:space="preserve"> в молельном зале горючи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1903CE" w:rsidRPr="00331162">
              <w:rPr>
                <w:rFonts w:eastAsiaTheme="minorHAnsi"/>
                <w:sz w:val="24"/>
                <w:szCs w:val="24"/>
                <w:lang w:eastAsia="en-US"/>
              </w:rPr>
              <w:t xml:space="preserve"> материал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1903CE" w:rsidRPr="00331162">
              <w:rPr>
                <w:rFonts w:eastAsiaTheme="minorHAnsi"/>
                <w:sz w:val="24"/>
                <w:szCs w:val="24"/>
                <w:lang w:eastAsia="en-US"/>
              </w:rPr>
              <w:t xml:space="preserve"> (ели, сухая трава) на расстоянии более 1,5 метра от источника открытого огня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Pr="00331162" w:rsidRDefault="001903CE" w:rsidP="001903CE">
            <w:pPr>
              <w:rPr>
                <w:sz w:val="24"/>
                <w:szCs w:val="24"/>
              </w:rPr>
            </w:pPr>
            <w:r w:rsidRPr="00331162">
              <w:rPr>
                <w:sz w:val="24"/>
                <w:szCs w:val="24"/>
              </w:rPr>
              <w:t xml:space="preserve">Пункт </w:t>
            </w:r>
            <w:r w:rsidRPr="00331162">
              <w:rPr>
                <w:rFonts w:eastAsiaTheme="minorHAnsi"/>
                <w:sz w:val="24"/>
                <w:szCs w:val="24"/>
                <w:lang w:eastAsia="en-US"/>
              </w:rPr>
              <w:t>502</w:t>
            </w:r>
            <w:r w:rsidRPr="0033116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1903CE" w:rsidRPr="006A2BF8" w:rsidTr="00C8466C">
        <w:trPr>
          <w:jc w:val="center"/>
        </w:trPr>
        <w:tc>
          <w:tcPr>
            <w:tcW w:w="924" w:type="dxa"/>
          </w:tcPr>
          <w:p w:rsidR="001903CE" w:rsidRPr="006A2BF8" w:rsidRDefault="001903CE" w:rsidP="001903C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903CE" w:rsidRPr="00444779" w:rsidRDefault="00444779" w:rsidP="00444779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444779">
              <w:rPr>
                <w:rFonts w:eastAsiaTheme="minorHAnsi"/>
                <w:sz w:val="24"/>
                <w:szCs w:val="24"/>
                <w:lang w:eastAsia="en-US"/>
              </w:rPr>
              <w:t>Соблюдается ли требование о</w:t>
            </w:r>
            <w:r w:rsidR="001903CE" w:rsidRPr="00444779">
              <w:rPr>
                <w:rFonts w:eastAsiaTheme="minorHAnsi"/>
                <w:sz w:val="24"/>
                <w:szCs w:val="24"/>
                <w:lang w:eastAsia="en-US"/>
              </w:rPr>
              <w:t xml:space="preserve"> размещени</w:t>
            </w:r>
            <w:r w:rsidRPr="0044477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903CE" w:rsidRPr="00444779">
              <w:rPr>
                <w:rFonts w:eastAsiaTheme="minorHAnsi"/>
                <w:sz w:val="24"/>
                <w:szCs w:val="24"/>
                <w:lang w:eastAsia="en-US"/>
              </w:rPr>
              <w:t xml:space="preserve"> травы по площади молельного зала в праздник Святой Троицы не более чем на 1 сутки с дальнейшей заменой</w:t>
            </w:r>
            <w:r w:rsidRPr="00444779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61" w:type="dxa"/>
          </w:tcPr>
          <w:p w:rsidR="001903CE" w:rsidRPr="00444779" w:rsidRDefault="001903CE" w:rsidP="001903CE">
            <w:pPr>
              <w:rPr>
                <w:sz w:val="24"/>
                <w:szCs w:val="24"/>
              </w:rPr>
            </w:pPr>
            <w:r w:rsidRPr="00444779">
              <w:rPr>
                <w:sz w:val="24"/>
                <w:szCs w:val="24"/>
              </w:rPr>
              <w:t xml:space="preserve">Пункт </w:t>
            </w:r>
            <w:r w:rsidRPr="00444779">
              <w:rPr>
                <w:rFonts w:eastAsiaTheme="minorHAnsi"/>
                <w:sz w:val="24"/>
                <w:szCs w:val="24"/>
                <w:lang w:eastAsia="en-US"/>
              </w:rPr>
              <w:t>503</w:t>
            </w:r>
            <w:r w:rsidRPr="0044477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1903CE" w:rsidRPr="006A2BF8" w:rsidRDefault="001903CE" w:rsidP="001903CE">
            <w:pPr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C8466C" w:rsidRPr="006A2BF8" w:rsidTr="00C8466C">
        <w:trPr>
          <w:trHeight w:val="559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59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74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65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 xml:space="preserve">прошли ли руководитель и ответственные за пожарную безопасность лица </w:t>
            </w:r>
            <w:proofErr w:type="gramStart"/>
            <w:r w:rsidRPr="006A2BF8">
              <w:t>обучение по программам</w:t>
            </w:r>
            <w:proofErr w:type="gramEnd"/>
            <w:r w:rsidRPr="006A2BF8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2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31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8466C" w:rsidRPr="006A2BF8" w:rsidRDefault="00C8466C" w:rsidP="00C8466C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8466C" w:rsidRPr="006A2BF8" w:rsidRDefault="00C8466C" w:rsidP="00C8466C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447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690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C8466C" w:rsidRPr="006A2BF8" w:rsidRDefault="00C8466C" w:rsidP="00C8466C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Выполнено ли требование о размещении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 xml:space="preserve">Соответствует ли количество пожарных щитов, их тип и комплектация немеханизированным пожарным инструментом и инвентарем действующим </w:t>
            </w:r>
            <w:r w:rsidRPr="00BF1D05">
              <w:lastRenderedPageBreak/>
              <w:t>требованиям?</w:t>
            </w:r>
          </w:p>
        </w:tc>
        <w:tc>
          <w:tcPr>
            <w:tcW w:w="3561" w:type="dxa"/>
          </w:tcPr>
          <w:p w:rsidR="00C8466C" w:rsidRDefault="00C8466C" w:rsidP="00C84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Пункты 482-485 ППР</w:t>
            </w:r>
          </w:p>
          <w:p w:rsidR="00C8466C" w:rsidRPr="00CA6F18" w:rsidRDefault="00C8466C" w:rsidP="00C84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пожаровзрывобезопасными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B441A7" w:rsidRDefault="00C8466C" w:rsidP="00C8466C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6A2BF8">
              <w:rPr>
                <w:sz w:val="24"/>
                <w:szCs w:val="24"/>
              </w:rPr>
              <w:t>огнезадерживающих</w:t>
            </w:r>
            <w:proofErr w:type="spellEnd"/>
            <w:r w:rsidRPr="006A2BF8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6A2BF8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</w:t>
            </w:r>
            <w:proofErr w:type="gramStart"/>
            <w:r w:rsidRPr="006A2BF8">
              <w:rPr>
                <w:sz w:val="24"/>
                <w:szCs w:val="24"/>
              </w:rPr>
              <w:t>ств бл</w:t>
            </w:r>
            <w:proofErr w:type="gramEnd"/>
            <w:r w:rsidRPr="006A2BF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B441A7" w:rsidRDefault="00C8466C" w:rsidP="00C8466C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отсутствуют ли на путях эвакуации другие устройства, препятствующие свободной </w:t>
            </w:r>
            <w:r w:rsidRPr="006A2BF8">
              <w:rPr>
                <w:sz w:val="24"/>
                <w:szCs w:val="24"/>
              </w:rPr>
              <w:lastRenderedPageBreak/>
              <w:t>эвакуации людей?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фиксации самозакрывающихся дверей </w:t>
            </w:r>
            <w:r w:rsidRPr="006A2BF8">
              <w:lastRenderedPageBreak/>
              <w:t>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«г» пункта 36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C8466C" w:rsidRPr="00BF1D05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C8466C" w:rsidRPr="00BF1D05" w:rsidRDefault="00C8466C" w:rsidP="00C8466C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C8466C" w:rsidRPr="00BF1D05" w:rsidRDefault="00C8466C" w:rsidP="00C8466C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C8466C" w:rsidRPr="00BF1D05" w:rsidRDefault="00C8466C" w:rsidP="00C8466C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6A2BF8">
              <w:rPr>
                <w:sz w:val="24"/>
                <w:szCs w:val="24"/>
              </w:rPr>
              <w:t>рассеивателями</w:t>
            </w:r>
            <w:proofErr w:type="spellEnd"/>
            <w:r w:rsidRPr="006A2BF8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в </w:t>
            </w:r>
            <w:proofErr w:type="spellStart"/>
            <w:r w:rsidRPr="006A2BF8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трощитовых</w:t>
            </w:r>
            <w:proofErr w:type="spellEnd"/>
            <w:r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55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55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C8466C" w:rsidRPr="006A2BF8" w:rsidTr="00C8466C">
        <w:trPr>
          <w:trHeight w:val="311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7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26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1056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727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549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trHeight w:val="713"/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</w:t>
            </w:r>
            <w:r w:rsidRPr="006A2BF8">
              <w:rPr>
                <w:sz w:val="24"/>
                <w:szCs w:val="24"/>
              </w:rPr>
              <w:lastRenderedPageBreak/>
              <w:t>почвами?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F1D05" w:rsidRDefault="00C8466C" w:rsidP="00C8466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6A2BF8" w:rsidRDefault="00C8466C" w:rsidP="00C8466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6A2BF8">
              <w:rPr>
                <w:sz w:val="24"/>
                <w:szCs w:val="24"/>
              </w:rPr>
              <w:t>отступками</w:t>
            </w:r>
            <w:proofErr w:type="spellEnd"/>
            <w:r w:rsidRPr="006A2BF8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6A2BF8">
              <w:rPr>
                <w:sz w:val="24"/>
                <w:szCs w:val="24"/>
              </w:rPr>
              <w:t>ии у э</w:t>
            </w:r>
            <w:proofErr w:type="gramEnd"/>
            <w:r w:rsidRPr="006A2BF8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</w:t>
            </w:r>
            <w:proofErr w:type="spellStart"/>
            <w:r w:rsidRPr="00B86719">
              <w:rPr>
                <w:sz w:val="24"/>
                <w:szCs w:val="24"/>
              </w:rPr>
              <w:t>теплогенераторных</w:t>
            </w:r>
            <w:proofErr w:type="spellEnd"/>
            <w:r w:rsidRPr="00B86719">
              <w:rPr>
                <w:sz w:val="24"/>
                <w:szCs w:val="24"/>
              </w:rPr>
              <w:t>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6A2BF8" w:rsidRDefault="00C8466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15110" w:type="dxa"/>
            <w:gridSpan w:val="4"/>
          </w:tcPr>
          <w:p w:rsidR="00C8466C" w:rsidRPr="002E4E99" w:rsidRDefault="00C8466C" w:rsidP="00C8466C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8466C" w:rsidRPr="006A2BF8" w:rsidTr="00C8466C">
        <w:trPr>
          <w:jc w:val="center"/>
        </w:trPr>
        <w:tc>
          <w:tcPr>
            <w:tcW w:w="924" w:type="dxa"/>
          </w:tcPr>
          <w:p w:rsidR="00C8466C" w:rsidRPr="006A2BF8" w:rsidRDefault="00C8466C" w:rsidP="00C8466C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8466C" w:rsidRPr="009E43DB" w:rsidRDefault="00C8466C" w:rsidP="00C8466C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C8466C" w:rsidRPr="00B86719" w:rsidRDefault="00C8466C" w:rsidP="00C8466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C8466C" w:rsidRPr="006A2BF8" w:rsidRDefault="00C8466C" w:rsidP="00C8466C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C8466C" w:rsidRDefault="00C8466C" w:rsidP="00C8466C">
      <w:pPr>
        <w:pStyle w:val="ConsPlusNormal"/>
        <w:ind w:firstLine="709"/>
        <w:jc w:val="both"/>
        <w:rPr>
          <w:sz w:val="28"/>
          <w:szCs w:val="28"/>
        </w:rPr>
      </w:pPr>
    </w:p>
    <w:sectPr w:rsidR="00C8466C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C6" w:rsidRDefault="00203FC6" w:rsidP="00F53541">
      <w:r>
        <w:separator/>
      </w:r>
    </w:p>
  </w:endnote>
  <w:endnote w:type="continuationSeparator" w:id="0">
    <w:p w:rsidR="00203FC6" w:rsidRDefault="00203FC6" w:rsidP="00F53541">
      <w:r>
        <w:continuationSeparator/>
      </w:r>
    </w:p>
  </w:endnote>
  <w:endnote w:id="1">
    <w:p w:rsidR="00C8466C" w:rsidRDefault="00C8466C" w:rsidP="00C8466C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C8466C" w:rsidRDefault="00C8466C" w:rsidP="00C8466C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C8466C" w:rsidRDefault="00C8466C" w:rsidP="00C8466C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C8466C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8466C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8466C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C8466C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8466C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C8466C" w:rsidRPr="00643165" w:rsidRDefault="00C8466C" w:rsidP="00C846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C8466C" w:rsidRDefault="00C8466C" w:rsidP="00C8466C">
      <w:pPr>
        <w:pStyle w:val="ac"/>
      </w:pPr>
    </w:p>
    <w:p w:rsidR="00C8466C" w:rsidRDefault="00C8466C" w:rsidP="00C8466C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C6" w:rsidRDefault="00203FC6" w:rsidP="00F53541">
      <w:r>
        <w:separator/>
      </w:r>
    </w:p>
  </w:footnote>
  <w:footnote w:type="continuationSeparator" w:id="0">
    <w:p w:rsidR="00203FC6" w:rsidRDefault="00203FC6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C8466C" w:rsidRDefault="00C84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2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6A1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153D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519B4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3CE"/>
    <w:rsid w:val="00190EC2"/>
    <w:rsid w:val="00193965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E5F3D"/>
    <w:rsid w:val="001F6432"/>
    <w:rsid w:val="00201709"/>
    <w:rsid w:val="0020356F"/>
    <w:rsid w:val="00203FC6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1162"/>
    <w:rsid w:val="00335010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4319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4779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1DFA"/>
    <w:rsid w:val="007F2935"/>
    <w:rsid w:val="007F4F00"/>
    <w:rsid w:val="007F5C82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90C"/>
    <w:rsid w:val="00920D3E"/>
    <w:rsid w:val="00921128"/>
    <w:rsid w:val="00925926"/>
    <w:rsid w:val="009260A4"/>
    <w:rsid w:val="00931AB6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0ABA"/>
    <w:rsid w:val="00A926D1"/>
    <w:rsid w:val="00A93324"/>
    <w:rsid w:val="00A94C9F"/>
    <w:rsid w:val="00A97C75"/>
    <w:rsid w:val="00AA1ECF"/>
    <w:rsid w:val="00AA7089"/>
    <w:rsid w:val="00AA7E42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17BA"/>
    <w:rsid w:val="00C8209D"/>
    <w:rsid w:val="00C836DD"/>
    <w:rsid w:val="00C8466C"/>
    <w:rsid w:val="00C9687E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1B32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05D0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3F8-7478-4B76-8550-AE613C70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5</cp:revision>
  <cp:lastPrinted>2017-12-25T11:23:00Z</cp:lastPrinted>
  <dcterms:created xsi:type="dcterms:W3CDTF">2018-04-28T09:24:00Z</dcterms:created>
  <dcterms:modified xsi:type="dcterms:W3CDTF">2018-04-28T11:59:00Z</dcterms:modified>
</cp:coreProperties>
</file>