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52" w:lineRule="atLeast"/>
        <w:jc w:val="center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/>
      <w:bookmarkStart w:id="0" w:name="dst100237"/>
      <w:bookmarkEnd w:id="0"/>
      <w:r/>
      <w:r>
        <w:rPr>
          <w:rFonts w:ascii="Times New Roman" w:hAnsi="Times New Roman"/>
          <w:b/>
          <w:bCs/>
          <w:sz w:val="24"/>
          <w:szCs w:val="24"/>
          <w:lang w:val="ru-ru"/>
        </w:rPr>
        <w:t>Контрольные соотношения в РСВ</w:t>
      </w: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center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tblStyle w:val="NormalTable"/>
        <w:name w:val="Таблица1"/>
        <w:tabOrder w:val="0"/>
        <w:jc w:val="left"/>
        <w:tblInd w:w="20" w:type="dxa"/>
        <w:tblW w:w="13840" w:type="dxa"/>
        <w:tblLook w:val="0600" w:firstRow="0" w:lastRow="0" w:firstColumn="0" w:lastColumn="0" w:noHBand="1" w:noVBand="1"/>
      </w:tblPr>
      <w:tblGrid>
        <w:gridCol w:w="2513"/>
        <w:gridCol w:w="1889"/>
        <w:gridCol w:w="2081"/>
        <w:gridCol w:w="1954"/>
        <w:gridCol w:w="2519"/>
        <w:gridCol w:w="2884"/>
      </w:tblGrid>
      <w:tr>
        <w:trPr>
          <w:tblHeader w:val="0"/>
          <w:cantSplit w:val="0"/>
          <w:trHeight w:val="0" w:hRule="auto"/>
        </w:trPr>
        <w:tc>
          <w:tcPr>
            <w:tcW w:w="13840" w:type="dxa"/>
            <w:gridSpan w:val="6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kern w:val="1"/>
                <w:sz w:val="24"/>
                <w:szCs w:val="24"/>
              </w:rPr>
              <w:t>Форма 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" w:name="dst100009"/>
            <w:bookmarkEnd w:id="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Исходные документы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3970" w:type="dxa"/>
            <w:gridSpan w:val="2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" w:name="dst100010"/>
            <w:bookmarkEnd w:id="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Контрольное соотношение (КС)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7357" w:type="dxa"/>
            <w:gridSpan w:val="3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" w:name="dst100011"/>
            <w:bookmarkEnd w:id="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в случае невыполнения КС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" w:name="dst100012"/>
            <w:bookmarkEnd w:id="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N п/п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" w:name="dst100013"/>
            <w:bookmarkEnd w:id="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КС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" w:name="dst100014"/>
            <w:bookmarkEnd w:id="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возможное нарушение Законодательства РФ (ссылка)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" w:name="dst100015"/>
            <w:bookmarkEnd w:id="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Формулировка нарушения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" w:name="dst100016"/>
            <w:bookmarkEnd w:id="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Действия проверяющего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" w:name="dst100017"/>
            <w:bookmarkEnd w:id="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" w:name="dst100018"/>
            <w:bookmarkEnd w:id="1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" w:name="dst100019"/>
            <w:bookmarkEnd w:id="1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" w:name="dst100020"/>
            <w:bookmarkEnd w:id="1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" w:name="dst100021"/>
            <w:bookmarkEnd w:id="1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" w:name="dst100022"/>
            <w:bookmarkEnd w:id="1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" w:name="dst100023"/>
            <w:bookmarkEnd w:id="1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" w:name="dst100024"/>
            <w:bookmarkEnd w:id="1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0.10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по застрахованному лицу с учетом погрешности в 1 копейку на каждый применяемый тариф (код типа плательщика "1")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" w:name="dst100025"/>
            <w:bookmarkEnd w:id="1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209550" cy="247650"/>
                  <wp:effectExtent l="0" t="0" r="0" b="0"/>
                  <wp:docPr id="1" name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0" descr="IMG_256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EAAAAAAAAAAAAAAAAAAAAAAAAAAAAAAAAAAABKAQAAh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(</w:t>
            </w:r>
            <w:hyperlink r:id="rId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170 подр. 3.2.1 р.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/ "соответствующий значению </w:t>
            </w:r>
            <w:hyperlink r:id="rId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130 подр. 3.2.1. р.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тариф страховых взносов" * 22%)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 начала расчетного периода 2020 года </w:t>
            </w:r>
            <w:r>
              <w:rPr>
                <w:noProof/>
              </w:rPr>
              <w:drawing>
                <wp:inline distT="0" distB="0" distL="114300" distR="114300">
                  <wp:extent cx="161925" cy="190500"/>
                  <wp:effectExtent l="0" t="0" r="0" b="0"/>
                  <wp:docPr id="2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1" descr="IMG_257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QAHoAAAAAAAAAEAAAAAAAAAAAAAAAAAAAAAAAAAAAAAAAAAAAD/AAAALA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284 240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" w:name="dst100026"/>
            <w:bookmarkEnd w:id="18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" w:name="dst100027"/>
            <w:bookmarkEnd w:id="1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начисленных страховых взносов (нарастающим итогом с начала расчетного периода) п</w:t>
            </w:r>
            <w:r/>
            <w:bookmarkStart w:id="20" w:name="_GoBack"/>
            <w:bookmarkEnd w:id="2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о застрахованному лицу превышает максимально допустимую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" w:name="dst100028"/>
            <w:bookmarkEnd w:id="2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" w:name="dst100029"/>
            <w:bookmarkEnd w:id="2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 начала расчетного периода 2021 года </w:t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161925" cy="190500"/>
                  <wp:effectExtent l="0" t="0" r="0" b="0"/>
                  <wp:docPr id="3" name="Изображе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12" descr="IMG_258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IAAAAAAAAAAAAAAAAAAAAAAAAAAAAAAAAAAAD/AAAALA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322 300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3" w:name="dst100030"/>
            <w:bookmarkEnd w:id="2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4" w:name="dst100031"/>
            <w:bookmarkEnd w:id="2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1.3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5" w:name="dst100032"/>
            <w:bookmarkEnd w:id="25"/>
            <w:r/>
            <w:hyperlink r:id="rId1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110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 - </w:t>
            </w:r>
            <w:hyperlink r:id="rId1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120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 = (</w:t>
            </w:r>
            <w:hyperlink r:id="rId1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110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поп + </w:t>
            </w:r>
            <w:hyperlink r:id="rId1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111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 + </w:t>
            </w:r>
            <w:hyperlink r:id="rId1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112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 + </w:t>
            </w:r>
            <w:hyperlink r:id="rId1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113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оп) - (</w:t>
            </w:r>
            <w:hyperlink r:id="rId1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120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поп + </w:t>
            </w:r>
            <w:hyperlink r:id="rId1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121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 + </w:t>
            </w:r>
            <w:hyperlink r:id="rId1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122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 + </w:t>
            </w:r>
            <w:hyperlink r:id="rId1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123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оп)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6" w:name="dst100033"/>
            <w:bookmarkEnd w:id="26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7" w:name="dst100034"/>
            <w:bookmarkEnd w:id="2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СВ на ОСС за вычетом суммы превышения расходов над СВ ОСС за отчетный период сумме СВ на ОСС за предыдущий отчетный период и за последние три месяца отчетного периода за минусом суммы превышения расходов над СВ ОСС за предыдущий отчетный период и за последние три месяца отчетного периода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8" w:name="dst100035"/>
            <w:bookmarkEnd w:id="2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9" w:name="dst100036"/>
            <w:bookmarkEnd w:id="2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0" w:name="dst100037"/>
            <w:bookmarkEnd w:id="3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1" w:name="dst100038"/>
            <w:bookmarkEnd w:id="3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1.24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2" w:name="dst100039"/>
            <w:bookmarkEnd w:id="3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если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1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= 2, то </w:t>
            </w:r>
            <w:hyperlink r:id="rId1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120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=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3" w:name="dst100040"/>
            <w:bookmarkEnd w:id="33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4" w:name="dst100041"/>
            <w:bookmarkEnd w:id="3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превышения произведенных расходов над исчисленными СВ на ОСС за отчетный период </w:t>
            </w:r>
            <w:hyperlink r:id="rId2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(раздел 1)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сумме превышения произведенных расходов над исчисленными СВ на ОСС за отчетный период (</w:t>
            </w:r>
            <w:hyperlink r:id="rId2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прил.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к разд. 1), если расходы превышают сумму исчисленных СВ на ОСС и указан признак "2"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5" w:name="dst100042"/>
            <w:bookmarkEnd w:id="3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 </w:t>
            </w:r>
            <w:hyperlink r:id="rId2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статьей 88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6" w:name="dst100043"/>
            <w:bookmarkEnd w:id="3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7" w:name="dst100044"/>
            <w:bookmarkEnd w:id="3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8" w:name="dst100045"/>
            <w:bookmarkEnd w:id="3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1.25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39" w:name="dst100046"/>
            <w:bookmarkEnd w:id="3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если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= 2, то </w:t>
            </w:r>
            <w:hyperlink r:id="rId1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121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=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4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0" w:name="dst100047"/>
            <w:bookmarkEnd w:id="40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1" w:name="dst100048"/>
            <w:bookmarkEnd w:id="4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превышения произведенных расходов над исчисленными СВ на ОСС за 1-й месяц </w:t>
            </w:r>
            <w:hyperlink r:id="rId2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(раздел 1)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сумме превышения произведенных расходов над исчисленными СВ на ОСС за 1-й месяц (</w:t>
            </w:r>
            <w:hyperlink r:id="rId2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прил.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к разд. 1), если расходы превышают сумму исчисленных СВ на ОСС и указан признак "2"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2" w:name="dst100049"/>
            <w:bookmarkEnd w:id="4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 </w:t>
            </w:r>
            <w:hyperlink r:id="rId2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статьей 88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3" w:name="dst100050"/>
            <w:bookmarkEnd w:id="4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4" w:name="dst100051"/>
            <w:bookmarkEnd w:id="4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5" w:name="dst100052"/>
            <w:bookmarkEnd w:id="4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1.26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6" w:name="dst100053"/>
            <w:bookmarkEnd w:id="4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если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5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= 2, то </w:t>
            </w:r>
            <w:hyperlink r:id="rId1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122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=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6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7" w:name="dst100054"/>
            <w:bookmarkEnd w:id="47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8" w:name="dst100055"/>
            <w:bookmarkEnd w:id="4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превышения произведенных расходов над исчисленными СВ на ОСС за 2-й месяц </w:t>
            </w:r>
            <w:hyperlink r:id="rId2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(раздел 1)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сумме превышения произведенных расходов над исчисленными СВ на ОСС за 2-й месяц (</w:t>
            </w:r>
            <w:hyperlink r:id="rId2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прил.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к разд. 1), если расходы превышают сумму исчисленных СВ на ОСС и указан признак "2"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49" w:name="dst100056"/>
            <w:bookmarkEnd w:id="4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 </w:t>
            </w:r>
            <w:hyperlink r:id="rId2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статьей 88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0" w:name="dst100057"/>
            <w:bookmarkEnd w:id="5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1" w:name="dst100058"/>
            <w:bookmarkEnd w:id="5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2" w:name="dst100059"/>
            <w:bookmarkEnd w:id="5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3" w:name="dst100060"/>
            <w:bookmarkEnd w:id="5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если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7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= 2, то </w:t>
            </w:r>
            <w:hyperlink r:id="rId1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123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 = </w:t>
            </w:r>
            <w:hyperlink r:id="rId1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8 ст.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4" w:name="dst100061"/>
            <w:bookmarkEnd w:id="54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5" w:name="dst100062"/>
            <w:bookmarkEnd w:id="5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превышения произведенных расходов над исчисленными СВ на ОСС за 3-й месяц </w:t>
            </w:r>
            <w:hyperlink r:id="rId2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(раздел 1)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сумме превышения произведенных расходов над исчисленными СВ на ОСС за 3-й месяц (</w:t>
            </w:r>
            <w:hyperlink r:id="rId2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прил.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к разд. 1), если расходы превышают сумму исчисленных СВ на ОСС и указан признак "2"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6" w:name="dst100063"/>
            <w:bookmarkEnd w:id="5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 </w:t>
            </w:r>
            <w:hyperlink r:id="rId2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статьей 88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7" w:name="dst100064"/>
            <w:bookmarkEnd w:id="5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8" w:name="dst100065"/>
            <w:bookmarkEnd w:id="5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59" w:name="dst100066"/>
            <w:bookmarkEnd w:id="5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1.141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0" w:name="dst100067"/>
            <w:bookmarkEnd w:id="60"/>
            <w:r/>
            <w:hyperlink r:id="rId2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1 ст. 070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оп = </w:t>
            </w:r>
            <w:hyperlink r:id="rId2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1 ст. 070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поп + (</w:t>
            </w:r>
            <w:hyperlink r:id="rId2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070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+ </w:t>
            </w:r>
            <w:hyperlink r:id="rId2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070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 + </w:t>
            </w:r>
            <w:hyperlink r:id="rId2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4 ст. 070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2 р. 1 СВ) оп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1" w:name="dst100068"/>
            <w:bookmarkEnd w:id="61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2" w:name="dst100069"/>
            <w:bookmarkEnd w:id="6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Расходы на выплату СО за отчетный период сумме расходов на выплату СО за предыдущий отчетный период и за три последних месяца отчетного периода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3" w:name="dst100070"/>
            <w:bookmarkEnd w:id="6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 </w:t>
            </w:r>
            <w:hyperlink r:id="rId2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статьей 88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4" w:name="dst100071"/>
            <w:bookmarkEnd w:id="6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5" w:name="dst100072"/>
            <w:bookmarkEnd w:id="6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6" w:name="dst100073"/>
            <w:bookmarkEnd w:id="6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1.143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7" w:name="dst100074"/>
            <w:bookmarkEnd w:id="67"/>
            <w:r/>
            <w:hyperlink r:id="rId2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010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&gt;=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8" w:name="dst100075"/>
            <w:bookmarkEnd w:id="68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69" w:name="dst100076"/>
            <w:bookmarkEnd w:id="6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Средняя численность работников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по итогам 9 месяцев предыдущего года меньше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0" w:name="dst100077"/>
            <w:bookmarkEnd w:id="7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1" w:name="dst100078"/>
            <w:bookmarkEnd w:id="7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2" w:name="dst100079"/>
            <w:bookmarkEnd w:id="7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3" w:name="dst100080"/>
            <w:bookmarkEnd w:id="7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1.144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4" w:name="dst100081"/>
            <w:bookmarkEnd w:id="74"/>
            <w:r/>
            <w:hyperlink r:id="rId2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010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&gt;=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5" w:name="dst100082"/>
            <w:bookmarkEnd w:id="75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6" w:name="dst100083"/>
            <w:bookmarkEnd w:id="7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Среднесписочная численность работников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по итогам расчетного (отчетного) периода меньше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7" w:name="dst100084"/>
            <w:bookmarkEnd w:id="7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8" w:name="dst100085"/>
            <w:bookmarkEnd w:id="7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79" w:name="dst100086"/>
            <w:bookmarkEnd w:id="7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0" w:name="dst100087"/>
            <w:bookmarkEnd w:id="8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1.145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1" w:name="dst100088"/>
            <w:bookmarkEnd w:id="81"/>
            <w:r/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&gt;=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2" w:name="dst100089"/>
            <w:bookmarkEnd w:id="82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3" w:name="dst100090"/>
            <w:bookmarkEnd w:id="8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 меньше суммы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4" w:name="dst100091"/>
            <w:bookmarkEnd w:id="8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5" w:name="dst100092"/>
            <w:bookmarkEnd w:id="8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6" w:name="dst100093"/>
            <w:bookmarkEnd w:id="8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7" w:name="dst100094"/>
            <w:bookmarkEnd w:id="8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1.146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8" w:name="dst100095"/>
            <w:bookmarkEnd w:id="88"/>
            <w:r/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&gt;=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89" w:name="dst100096"/>
            <w:bookmarkEnd w:id="89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0" w:name="dst100097"/>
            <w:bookmarkEnd w:id="9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отчетный период меньше суммы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расчетный (отчетный) период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1" w:name="dst100098"/>
            <w:bookmarkEnd w:id="9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2" w:name="dst100099"/>
            <w:bookmarkEnd w:id="9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3" w:name="dst100100"/>
            <w:bookmarkEnd w:id="9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4" w:name="dst100101"/>
            <w:bookmarkEnd w:id="9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5" w:name="dst100102"/>
            <w:bookmarkEnd w:id="95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/ </w:t>
            </w:r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*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6" w:name="dst100103"/>
            <w:bookmarkEnd w:id="96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7" w:name="dst100104"/>
            <w:bookmarkEnd w:id="9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 частному от суммы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и суммы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года, умноженному на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8" w:name="dst100105"/>
            <w:bookmarkEnd w:id="9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99" w:name="dst100106"/>
            <w:bookmarkEnd w:id="9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0" w:name="dst100107"/>
            <w:bookmarkEnd w:id="10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1" w:name="dst100108"/>
            <w:bookmarkEnd w:id="10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1.148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2" w:name="dst100109"/>
            <w:bookmarkEnd w:id="102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/ </w:t>
            </w:r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*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3" w:name="dst100110"/>
            <w:bookmarkEnd w:id="103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4" w:name="dst100111"/>
            <w:bookmarkEnd w:id="10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отчетный период частному от суммы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и суммы доходов плательщиков, применяющих пониженный тариф 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(пп. 3 п. 1 ст. 427)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расчетный (отчетный) период, умноженному на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5" w:name="dst100112"/>
            <w:bookmarkEnd w:id="10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6" w:name="dst100113"/>
            <w:bookmarkEnd w:id="10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7" w:name="dst100114"/>
            <w:bookmarkEnd w:id="10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8" w:name="dst100115"/>
            <w:bookmarkEnd w:id="10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1.149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09" w:name="dst100116"/>
            <w:bookmarkEnd w:id="109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&gt;=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0" w:name="dst100117"/>
            <w:bookmarkEnd w:id="110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1" w:name="dst100118"/>
            <w:bookmarkEnd w:id="11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 меньше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2" w:name="dst100119"/>
            <w:bookmarkEnd w:id="11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3" w:name="dst100120"/>
            <w:bookmarkEnd w:id="11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4" w:name="dst100121"/>
            <w:bookmarkEnd w:id="11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5" w:name="dst100122"/>
            <w:bookmarkEnd w:id="11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1.150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6" w:name="dst100123"/>
            <w:bookmarkEnd w:id="116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 р. 1 СВ &gt;=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7" w:name="dst100124"/>
            <w:bookmarkEnd w:id="117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8" w:name="dst100125"/>
            <w:bookmarkEnd w:id="11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расчетный (отчетный) период меньше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19" w:name="dst100126"/>
            <w:bookmarkEnd w:id="11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0" w:name="dst100127"/>
            <w:bookmarkEnd w:id="12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не применяется 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1" w:name="dst100128"/>
            <w:bookmarkEnd w:id="12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2" w:name="dst100129"/>
            <w:bookmarkEnd w:id="12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(применяется в отношении плательщиков, не имеющих обособленных подразделений)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3" w:name="dst100130"/>
            <w:bookmarkEnd w:id="12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Значение поля "Среднесписочная численность (чел.)" титульного листа </w:t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161925" cy="190500"/>
                  <wp:effectExtent l="0" t="0" r="0" b="0"/>
                  <wp:docPr id="4" name="Изображение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13" descr="IMG_259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MAAAAAAAAAAAAAAAAAAAAAAAAAAAAAAAAAAAD/AAAALA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</w:t>
            </w:r>
            <w:hyperlink r:id="rId3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1 стр. 010 подр. 1.1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. прил. 1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4" w:name="dst100131"/>
            <w:bookmarkEnd w:id="124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5" w:name="dst100132"/>
            <w:bookmarkEnd w:id="12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Значение среднесписочной численности больше количества застрахованных лиц с начала расчетного периода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6" w:name="dst100133"/>
            <w:bookmarkEnd w:id="12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7" w:name="dst100134"/>
            <w:bookmarkEnd w:id="12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8" w:name="dst100135"/>
            <w:bookmarkEnd w:id="12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1.201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29" w:name="dst100136"/>
            <w:bookmarkEnd w:id="129"/>
            <w:r/>
            <w:hyperlink r:id="rId2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010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&gt;=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0" w:name="dst100137"/>
            <w:bookmarkEnd w:id="130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1" w:name="dst100138"/>
            <w:bookmarkEnd w:id="13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Средняя численность работников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по итогам 9 месяцев предыдущего года меньше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2" w:name="dst100139"/>
            <w:bookmarkEnd w:id="13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3" w:name="dst100140"/>
            <w:bookmarkEnd w:id="13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4" w:name="dst100141"/>
            <w:bookmarkEnd w:id="13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1.202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5" w:name="dst100142"/>
            <w:bookmarkEnd w:id="135"/>
            <w:r/>
            <w:hyperlink r:id="rId2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010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&gt;=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6" w:name="dst100143"/>
            <w:bookmarkEnd w:id="136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7" w:name="dst100144"/>
            <w:bookmarkEnd w:id="13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Среднесписочная численность работников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по итогам расчетного (отчетного) периода меньше 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8" w:name="dst100145"/>
            <w:bookmarkEnd w:id="13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39" w:name="dst100146"/>
            <w:bookmarkEnd w:id="13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0" w:name="dst100147"/>
            <w:bookmarkEnd w:id="14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1.203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1" w:name="dst100148"/>
            <w:bookmarkEnd w:id="141"/>
            <w:r/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&gt;=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2" w:name="dst100149"/>
            <w:bookmarkEnd w:id="142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3" w:name="dst100150"/>
            <w:bookmarkEnd w:id="14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 меньше суммы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4" w:name="dst100151"/>
            <w:bookmarkEnd w:id="14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5" w:name="dst100152"/>
            <w:bookmarkEnd w:id="14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6" w:name="dst100153"/>
            <w:bookmarkEnd w:id="14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1.204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7" w:name="dst100154"/>
            <w:bookmarkEnd w:id="147"/>
            <w:r/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&gt;=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8" w:name="dst100155"/>
            <w:bookmarkEnd w:id="148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49" w:name="dst100156"/>
            <w:bookmarkEnd w:id="14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отчетный период меньше суммы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расчетный (отчетный) период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0" w:name="dst100157"/>
            <w:bookmarkEnd w:id="15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1" w:name="dst100158"/>
            <w:bookmarkEnd w:id="15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2" w:name="dst100159"/>
            <w:bookmarkEnd w:id="15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1.205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3" w:name="dst100160"/>
            <w:bookmarkEnd w:id="153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/ </w:t>
            </w:r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*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4" w:name="dst100161"/>
            <w:bookmarkEnd w:id="154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5" w:name="dst100162"/>
            <w:bookmarkEnd w:id="15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 частному от суммы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и суммы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года, умноженному на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6" w:name="dst100163"/>
            <w:bookmarkEnd w:id="15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7" w:name="dst100164"/>
            <w:bookmarkEnd w:id="15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8" w:name="dst100165"/>
            <w:bookmarkEnd w:id="15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1.206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59" w:name="dst100166"/>
            <w:bookmarkEnd w:id="159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= </w:t>
            </w:r>
            <w:hyperlink r:id="rId2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/ </w:t>
            </w:r>
            <w:hyperlink r:id="rId2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020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*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0" w:name="dst100167"/>
            <w:bookmarkEnd w:id="160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1" w:name="dst100168"/>
            <w:bookmarkEnd w:id="16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отчетный период частному от суммы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и суммы доходов плательщиков, применяющих пониженный тариф (</w:t>
            </w:r>
            <w:hyperlink r:id="rId2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пп. 18 п. 1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), опред. по </w:t>
            </w:r>
            <w:hyperlink r:id="rId2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248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расчетный (отчетный) период, умноженному на 100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2" w:name="dst100169"/>
            <w:bookmarkEnd w:id="16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3" w:name="dst100170"/>
            <w:bookmarkEnd w:id="16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4" w:name="dst100171"/>
            <w:bookmarkEnd w:id="16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1.207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5" w:name="dst100172"/>
            <w:bookmarkEnd w:id="165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&gt;=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6" w:name="dst100173"/>
            <w:bookmarkEnd w:id="166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7" w:name="dst100174"/>
            <w:bookmarkEnd w:id="16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9 месяцев предыдущего года меньше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8" w:name="dst100175"/>
            <w:bookmarkEnd w:id="16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69" w:name="dst100176"/>
            <w:bookmarkEnd w:id="16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0" w:name="dst100177"/>
            <w:bookmarkEnd w:id="17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1.208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1" w:name="dst100178"/>
            <w:bookmarkEnd w:id="171"/>
            <w:r/>
            <w:hyperlink r:id="rId3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ст. 040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5.1 р. 1 СВ &gt;=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2" w:name="dst100179"/>
            <w:bookmarkEnd w:id="172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3" w:name="dst100180"/>
            <w:bookmarkEnd w:id="17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Доля доходов, определяемая в целях применения </w:t>
            </w:r>
            <w:hyperlink r:id="rId3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5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3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п. 14 ст. 427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 за расчетный (отчетный) период меньше 90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4" w:name="dst100181"/>
            <w:bookmarkEnd w:id="17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5" w:name="dst100182"/>
            <w:bookmarkEnd w:id="17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6" w:name="dst100183"/>
            <w:bookmarkEnd w:id="17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1.209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7" w:name="dst100184"/>
            <w:bookmarkEnd w:id="177"/>
            <w:r/>
            <w:hyperlink r:id="rId3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1 стр.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1 р. 2 СВ по застрахованному лицу за расчетный период 2020, 2021 </w:t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161925" cy="190500"/>
                  <wp:effectExtent l="0" t="0" r="0" b="0"/>
                  <wp:docPr id="5" name="Изображение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14" descr="IMG_260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QAAAAAAAAAAAAAAAAAAAAAAAAAAAAAAAAAAAD/AAAALA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32 448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8" w:name="dst100185"/>
            <w:bookmarkEnd w:id="178"/>
            <w:r/>
            <w:hyperlink r:id="rId3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79" w:name="dst100186"/>
            <w:bookmarkEnd w:id="17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исчисленных страховых взносов в фиксированном размере превышает установленную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0" w:name="dst100187"/>
            <w:bookmarkEnd w:id="18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1" w:name="dst100188"/>
            <w:bookmarkEnd w:id="18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2" w:name="dst100189"/>
            <w:bookmarkEnd w:id="18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1.210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3" w:name="dst100190"/>
            <w:bookmarkEnd w:id="183"/>
            <w:r/>
            <w:hyperlink r:id="rId3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стр. 090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1 р. 2 СВ по застрахованному лицу за расчетный период 2020, 2021 </w:t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161925" cy="190500"/>
                  <wp:effectExtent l="0" t="0" r="0" b="0"/>
                  <wp:docPr id="6" name="Изображени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15" descr="IMG_26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UAAAAAAAAAAAAAAAAAAAAAAAAAAAAAAAAAAAD/AAAALA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8426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4" w:name="dst100191"/>
            <w:bookmarkEnd w:id="184"/>
            <w:r/>
            <w:hyperlink r:id="rId3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5" w:name="dst100192"/>
            <w:bookmarkEnd w:id="18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исчисленных страховых взносов в фиксированном размере превышает установленную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6" w:name="dst100193"/>
            <w:bookmarkEnd w:id="18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7" w:name="dst100194"/>
            <w:bookmarkEnd w:id="187"/>
            <w:r/>
            <w:hyperlink r:id="rId3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СВ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. 6НДФЛ (применяется в отношении плательщиков, не имеющих обособленных подразделений и не распространяется на индивидуальных предпринимателей, применяющих патентную систему налогообложения и индивидуальных предпринимателей, уплачивающих единый налог на вмененный доход)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8" w:name="dst100195"/>
            <w:bookmarkEnd w:id="18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2.2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89" w:name="dst100196"/>
            <w:bookmarkEnd w:id="189"/>
            <w:r/>
            <w:hyperlink r:id="rId3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020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6НДФЛ - ст. 025 </w:t>
            </w:r>
            <w:hyperlink r:id="rId3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6НДФЛ &gt;= </w:t>
            </w:r>
            <w:hyperlink r:id="rId4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050 гр. 1 подр. 1.1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0" w:name="dst100197"/>
            <w:bookmarkEnd w:id="19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Сумма начисленного дохода налогоплательщика, за исключением сумм начисленного дохода на дивиденды &lt; база для начисления страховых взносов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vMerge w:val="restart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1" w:name="dst100198"/>
            <w:bookmarkEnd w:id="19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пояснений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2" w:name="dst100199"/>
            <w:bookmarkEnd w:id="19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начиная с отчетного периода 1 квартал 2021 г.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188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3" w:name="dst100200"/>
            <w:bookmarkEnd w:id="193"/>
            <w:r/>
            <w:hyperlink r:id="rId4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110 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6НДФЛ - ст. </w:t>
            </w:r>
            <w:hyperlink r:id="rId4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111 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6НДФЛ &gt;= </w:t>
            </w:r>
            <w:hyperlink r:id="rId4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050 гр. 1 подр. 1.1 р. 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519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  <w:tc>
          <w:tcPr>
            <w:tcW w:w="2884" w:type="dxa"/>
            <w:vMerge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4" w:name="dst100201"/>
            <w:bookmarkEnd w:id="19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5" w:name="dst100202"/>
            <w:bookmarkEnd w:id="19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2.8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по плательщику страховых взносов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6" w:name="dst100203"/>
            <w:bookmarkEnd w:id="19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При наличии </w:t>
            </w:r>
            <w:hyperlink r:id="rId4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подр 1.1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. прил. 1 р. 1 СВ по значению </w:t>
            </w:r>
            <w:hyperlink r:id="rId4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поля 001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1 р. 1 СВ = 20 обязательность нахождения сведений о плательщике в реестре МСП на дату окончания каждого месяца и отсутствие факта исключения из реестра МСП в каждом месяце, в котором </w:t>
            </w:r>
            <w:hyperlink r:id="rId4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по строкам подр. 1.1. прил. 1 р. 1 СВ &gt; 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7" w:name="dst100204"/>
            <w:bookmarkEnd w:id="197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8" w:name="dst100205"/>
            <w:bookmarkEnd w:id="19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Отсутствие сведений о плательщике в реестре МСП на дату окончания каждого месяца и наличие факта исключения из реестра в котором </w:t>
            </w:r>
            <w:hyperlink r:id="rId4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5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по строкам подр. 1.1. прил. 1 р. 1 СВ по значению </w:t>
            </w:r>
            <w:hyperlink r:id="rId4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поля 001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1 р. 1 СВ = 20 &gt; 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199" w:name="dst100206"/>
            <w:bookmarkEnd w:id="19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0" w:name="dst100207"/>
            <w:bookmarkEnd w:id="20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1" w:name="dst100208"/>
            <w:bookmarkEnd w:id="20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2.9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по плательщику страховых взносов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2" w:name="dst100209"/>
            <w:bookmarkEnd w:id="20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При наличии </w:t>
            </w:r>
            <w:hyperlink r:id="rId46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подр 1.2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. прил. 1 р. 1 СВ по значению </w:t>
            </w:r>
            <w:hyperlink r:id="rId4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поля 001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1 р. 1 СВ = 20 обязательность нахождения сведений о плательщике в реестре МСП на дату окончания каждого месяца и отсутствие факта исключения из реестра МСП в каждом месяце, в котором </w:t>
            </w:r>
            <w:hyperlink r:id="rId4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по строкам подр. 1.2. прил. 1 р. 1 СВ &gt; 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3" w:name="dst100210"/>
            <w:bookmarkEnd w:id="203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4" w:name="dst100211"/>
            <w:bookmarkEnd w:id="20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Отсутствие сведений о плательщике в реестре МСП на дату окончания каждого месяца и наличие факта исключения из реестра, в котором </w:t>
            </w:r>
            <w:hyperlink r:id="rId4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7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по строкам подр. 1.2. прил. 1 р. 1 СВ по значению </w:t>
            </w:r>
            <w:hyperlink r:id="rId44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поля 001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прил. 1 р. 1 СВ = 20 &gt; 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5" w:name="dst100212"/>
            <w:bookmarkEnd w:id="20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6" w:name="dst100213"/>
            <w:bookmarkEnd w:id="20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7" w:name="dst100214"/>
            <w:bookmarkEnd w:id="20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2.10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по плательщику страховых взносов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8" w:name="dst100215"/>
            <w:bookmarkEnd w:id="20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При наличии прил. 2 р. 1 СВ по значению </w:t>
            </w:r>
            <w:hyperlink r:id="rId4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поля 001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= 20 обязательность нахождения сведений о плательщике в реестре МСП на дату окончания каждого месяца и отсутствие факта исключения из реестра МСП в каждом месяце, в котором </w:t>
            </w:r>
            <w:hyperlink r:id="rId4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по строкам прил. 2 р. 1 СВ &gt; 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09" w:name="dst100216"/>
            <w:bookmarkEnd w:id="209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0" w:name="dst100217"/>
            <w:bookmarkEnd w:id="21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Отсутствие сведений о плательщике в реестре МСП на дату окончания каждого месяца и наличие факта исключения из реестра, в котором </w:t>
            </w:r>
            <w:hyperlink r:id="rId4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3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, </w:t>
            </w:r>
            <w:hyperlink r:id="rId49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по строкам прил. 2 р. 1 СВ по значению </w:t>
            </w:r>
            <w:hyperlink r:id="rId48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поля 001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= 20 &gt; 0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1" w:name="dst100218"/>
            <w:bookmarkEnd w:id="211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2" w:name="dst100219"/>
            <w:bookmarkEnd w:id="21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3" w:name="dst100220"/>
            <w:bookmarkEnd w:id="21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2.14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по плательщику страховых взносов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4" w:name="dst100221"/>
            <w:bookmarkEnd w:id="21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Количество застрахованных лиц </w:t>
            </w:r>
            <w:hyperlink r:id="rId3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2 стр. 010 подраздела 1.1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. приложения 1 к разделу 1 за 1 месяц оп = </w:t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209550" cy="247650"/>
                  <wp:effectExtent l="0" t="0" r="0" b="0"/>
                  <wp:docPr id="7" name="Изображение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16" descr="IMG_262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YAAAAAAAAAAAAAAAAAAAAAAAAAAAAAAAAAAABKAQAAh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строк </w:t>
            </w:r>
            <w:hyperlink r:id="rId5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раздела 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формы СЗВ-М за аналогичный месяц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5" w:name="dst100222"/>
            <w:bookmarkEnd w:id="215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6" w:name="dst100223"/>
            <w:bookmarkEnd w:id="21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Общее количество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 </w:t>
            </w:r>
            <w:hyperlink r:id="rId5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форме СЗВ-М</w:t>
              </w:r>
            </w:hyperlink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7" w:name="dst100224"/>
            <w:bookmarkEnd w:id="217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8" w:name="dst100225"/>
            <w:bookmarkEnd w:id="21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19" w:name="dst100226"/>
            <w:bookmarkEnd w:id="21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2.15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по плательщику страховых взносов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0" w:name="dst100227"/>
            <w:bookmarkEnd w:id="220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Количество застрахованных лиц </w:t>
            </w:r>
            <w:hyperlink r:id="rId3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3 стр. 010 подраздела 1.1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. приложения 1 к разделу 1 за 2 месяц оп = </w:t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209550" cy="247650"/>
                  <wp:effectExtent l="0" t="0" r="0" b="0"/>
                  <wp:docPr id="8" name="Изображение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17" descr="IMG_263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cAAAAAAAAAAAAAAAAAAAAAAAAAAAAAAAAAAABKAQAAh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строк </w:t>
            </w:r>
            <w:hyperlink r:id="rId5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раздела 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формы СЗВ-М за аналогичный месяц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1" w:name="dst100228"/>
            <w:bookmarkEnd w:id="221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2" w:name="dst100229"/>
            <w:bookmarkEnd w:id="222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Общее количество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 </w:t>
            </w:r>
            <w:hyperlink r:id="rId5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форме СЗВ-М</w:t>
              </w:r>
            </w:hyperlink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3" w:name="dst100230"/>
            <w:bookmarkEnd w:id="223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13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4" w:name="dst100231"/>
            <w:bookmarkEnd w:id="224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88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5" w:name="dst100232"/>
            <w:bookmarkEnd w:id="225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2.16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  <w:p>
            <w:pPr>
              <w:ind w:left="60" w:right="60"/>
              <w:spacing w:before="100" w:after="100"/>
              <w:jc w:val="center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по плательщику страховых взносов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081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6" w:name="dst100233"/>
            <w:bookmarkEnd w:id="226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Количество застрахованных лиц </w:t>
            </w:r>
            <w:hyperlink r:id="rId32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гр. 4 стр. 010 подраздела 1.1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. приложения 1 к разделу 1 за 3 месяц оп = </w:t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noProof/>
              </w:rPr>
              <w:drawing>
                <wp:inline distT="0" distB="0" distL="114300" distR="114300">
                  <wp:extent cx="209550" cy="247650"/>
                  <wp:effectExtent l="0" t="0" r="0" b="0"/>
                  <wp:docPr id="9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18" descr="IMG_264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N7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gAAAAAAAAAAAAAAAAAAAAAAAAAAAAAAAAAAABKAQAAhgE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</w:r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строк </w:t>
            </w:r>
            <w:hyperlink r:id="rId5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раздела 4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формы СЗВ-М за аналогичный месяц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195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7" w:name="dst100234"/>
            <w:bookmarkEnd w:id="227"/>
            <w:r/>
            <w:hyperlink r:id="rId10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431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  <w:tc>
          <w:tcPr>
            <w:tcW w:w="2519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8" w:name="dst100235"/>
            <w:bookmarkEnd w:id="228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Общее количество персонифицированных сведений о застрахованных лицах в определенном месяце отчетного периода, указанных в расчете, меньше общего количества застрахованных лиц, указанных за аналогичный календарный месяц в </w:t>
            </w:r>
            <w:hyperlink r:id="rId51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форме СЗВ-М</w:t>
              </w:r>
            </w:hyperlink>
          </w:p>
        </w:tc>
        <w:tc>
          <w:tcPr>
            <w:tcW w:w="2884" w:type="dxa"/>
            <w:shd w:val="solid" w:color="FFFFFF" tmshd="1677721856, 0, 167772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17867575" protected="0"/>
          </w:tcPr>
          <w:p>
            <w:pPr>
              <w:ind w:left="60" w:right="60"/>
              <w:spacing w:before="100" w:after="100" w:line="264" w:lineRule="atLeast"/>
              <w:suppressLineNumbers/>
              <w:rPr>
                <w:rFonts w:ascii="Times New Roman" w:hAnsi="Times New Roman" w:eastAsia="sans-serif"/>
                <w:sz w:val="24"/>
                <w:szCs w:val="24"/>
              </w:rPr>
            </w:pPr>
            <w:r/>
            <w:bookmarkStart w:id="229" w:name="dst100236"/>
            <w:bookmarkEnd w:id="229"/>
            <w:r/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 </w:t>
            </w:r>
            <w:hyperlink r:id="rId23" w:history="1">
              <w:r>
                <w:rPr>
                  <w:rStyle w:val="char1"/>
                  <w:rFonts w:ascii="Times New Roman" w:hAnsi="Times New Roman" w:eastAsia="sans-serif"/>
                  <w:color w:val="auto"/>
                  <w:sz w:val="24"/>
                  <w:szCs w:val="24"/>
                  <w:u w:color="auto" w:val="none"/>
                </w:rPr>
                <w:t>ст. 100</w:t>
              </w:r>
            </w:hyperlink>
            <w:r>
              <w:rPr>
                <w:rFonts w:ascii="Times New Roman" w:hAnsi="Times New Roman" w:eastAsia="sans-serif"/>
                <w:kern w:val="1"/>
                <w:sz w:val="24"/>
                <w:szCs w:val="24"/>
              </w:rPr>
              <w:t> НК РФ.</w:t>
            </w:r>
            <w:r>
              <w:rPr>
                <w:rFonts w:ascii="Times New Roman" w:hAnsi="Times New Roman" w:eastAsia="sans-serif"/>
                <w:sz w:val="24"/>
                <w:szCs w:val="24"/>
              </w:rPr>
            </w:r>
          </w:p>
        </w:tc>
      </w:tr>
    </w:tbl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spacing w:line="252" w:lineRule="atLeast"/>
        <w:jc w:val="both"/>
        <w:suppressLineNumbers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tbl>
      <w:tblPr>
        <w:name w:val="Таблица2"/>
        <w:tabOrder w:val="0"/>
        <w:jc w:val="left"/>
        <w:tblInd w:w="20" w:type="dxa"/>
        <w:tblW w:w="13884" w:type="dxa"/>
      </w:tblPr>
      <w:tblGrid>
        <w:gridCol w:w="2314"/>
        <w:gridCol w:w="2314"/>
        <w:gridCol w:w="2314"/>
        <w:gridCol w:w="2314"/>
        <w:gridCol w:w="2314"/>
        <w:gridCol w:w="2314"/>
      </w:tblGrid>
      <w:tr>
        <w:trPr>
          <w:tblHeader w:val="0"/>
          <w:cantSplit w:val="0"/>
          <w:trHeight w:val="0" w:hRule="auto"/>
        </w:trPr>
        <w:tc>
          <w:tcPr>
            <w:tcW w:w="830" w:type="pct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ind w:left="20"/>
              <w:spacing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  <w:t>СВ</w:t>
            </w:r>
          </w:p>
          <w:p>
            <w:pPr>
              <w:ind w:left="20"/>
              <w:spacing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  <w:t>сведения о величине средней отраслевой заработной платы</w:t>
            </w:r>
          </w:p>
        </w:tc>
        <w:tc>
          <w:tcPr>
            <w:tcW w:w="830" w:type="pct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ind w:left="20"/>
              <w:spacing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  <w:t>2.7</w:t>
            </w:r>
          </w:p>
          <w:p>
            <w:pPr>
              <w:ind w:left="20"/>
              <w:spacing/>
              <w:jc w:val="center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  <w:t>по плательщику страховых взносов</w:t>
            </w:r>
          </w:p>
        </w:tc>
        <w:tc>
          <w:tcPr>
            <w:tcW w:w="83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ind w:left="20"/>
              <w:spacing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2"/>
                <w:szCs w:val="22"/>
                <w:lang w:val="ru-ru" w:eastAsia="zh-cn" w:bidi="ar-sa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830" w:type="pct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ind w:left="2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</w:pPr>
            <w:bookmarkStart w:id="230" w:name="r"/>
            <w:bookmarkEnd w:id="230"/>
            <w:r>
              <w:rPr>
                <w:rFonts w:ascii="Verdana" w:hAnsi="Verdana" w:eastAsia="SimSun"/>
                <w:color w:val="000000"/>
                <w:kern w:val="1"/>
                <w:sz w:val="21"/>
                <w:lang w:val="ru-ru" w:eastAsia="zh-cn" w:bidi="ar-sa"/>
              </w:rPr>
            </w:r>
            <w:hyperlink r:id="rId52" w:history="1">
              <w:r>
                <w:rPr>
                  <w:rStyle w:val="char1"/>
                  <w:rFonts w:ascii="Times New Roman" w:hAnsi="Times New Roman" w:eastAsia="SimSun"/>
                  <w:color w:val="000000"/>
                  <w:kern w:val="1"/>
                  <w:sz w:val="24"/>
                  <w:lang w:val="ru-ru" w:eastAsia="zh-cn" w:bidi="ar-sa"/>
                </w:rPr>
                <w:t>ст. 126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  <w:t xml:space="preserve">, </w:t>
            </w:r>
            <w:bookmarkStart w:id="231" w:name="r"/>
            <w:bookmarkEnd w:id="231"/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</w:r>
            <w:hyperlink r:id="rId53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1"/>
                  <w:lang w:val="ru-ru" w:eastAsia="zh-cn" w:bidi="ar-sa"/>
                </w:rPr>
                <w:t>ст. 421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  <w:t xml:space="preserve">, </w:t>
            </w:r>
            <w:bookmarkStart w:id="232" w:name="r"/>
            <w:bookmarkEnd w:id="232"/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</w:r>
            <w:hyperlink r:id="rId54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1"/>
                  <w:lang w:val="ru-ru" w:eastAsia="zh-cn" w:bidi="ar-sa"/>
                </w:rPr>
                <w:t>ст. 431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  <w:t xml:space="preserve">, НК РФ, </w:t>
            </w:r>
            <w:bookmarkStart w:id="233" w:name="r"/>
            <w:bookmarkEnd w:id="233"/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</w:r>
            <w:hyperlink r:id="rId55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1"/>
                  <w:lang w:val="ru-ru" w:eastAsia="zh-cn" w:bidi="ar-sa"/>
                </w:rPr>
                <w:t>ст. 133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  <w:t xml:space="preserve">, </w:t>
            </w:r>
            <w:bookmarkStart w:id="234" w:name="r"/>
            <w:bookmarkEnd w:id="234"/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</w:r>
            <w:hyperlink r:id="rId56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1"/>
                  <w:lang w:val="ru-ru" w:eastAsia="zh-cn" w:bidi="ar-sa"/>
                </w:rPr>
                <w:t>133.1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  <w:t xml:space="preserve"> ТК РФ</w:t>
            </w:r>
          </w:p>
        </w:tc>
        <w:tc>
          <w:tcPr>
            <w:tcW w:w="830" w:type="pct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ind w:left="2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  <w:t>Если сумма выплат по ЗЛ (КС 2.6)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</w:tc>
        <w:tc>
          <w:tcPr>
            <w:tcW w:w="830" w:type="pct"/>
            <w:vMerge w:val="restar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ind w:left="2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  <w:t xml:space="preserve">В соответствии с </w:t>
            </w:r>
            <w:bookmarkStart w:id="235" w:name="r"/>
            <w:bookmarkEnd w:id="235"/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</w:r>
            <w:hyperlink r:id="rId57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1"/>
                  <w:lang w:val="ru-ru" w:eastAsia="zh-cn" w:bidi="ar-sa"/>
                </w:rPr>
                <w:t>п. 3 ст. 88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4"/>
                <w:lang w:val="ru-ru" w:eastAsia="zh-cn" w:bidi="ar-sa"/>
              </w:rPr>
              <w:t xml:space="preserve"> НК РФ направить</w:t>
            </w:r>
            <w:r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  <w:t xml:space="preserve">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>
            <w:pPr>
              <w:ind w:left="20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</w:pPr>
            <w:r>
              <w:rPr>
                <w:rFonts w:ascii="Times New Roman" w:hAnsi="Times New Roman" w:eastAsia="SimSun"/>
                <w:kern w:val="1"/>
                <w:sz w:val="24"/>
                <w:lang w:val="ru-ru" w:eastAsia="zh-cn" w:bidi="ar-sa"/>
              </w:rPr>
              <w:t xml:space="preserve"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мероприятия. </w:t>
            </w:r>
          </w:p>
        </w:tc>
      </w:tr>
      <w:tr>
        <w:trPr>
          <w:tblHeader w:val="0"/>
          <w:cantSplit w:val="0"/>
          <w:trHeight w:val="6174" w:hRule="atLeast"/>
        </w:trPr>
        <w:tc>
          <w:tcPr>
            <w:tcW w:w="830" w:type="pct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widowControl w:val="0"/>
              <w:tabs defTabSz="708"/>
              <w:rPr>
                <w:rFonts w:ascii="Times New Roman" w:hAnsi="Times New Roman" w:eastAsia="SimSun"/>
                <w:kern w:val="1"/>
                <w:lang w:val="ru-ru" w:eastAsia="zh-cn" w:bidi="ar-sa"/>
              </w:rPr>
            </w:pPr>
          </w:p>
        </w:tc>
        <w:tc>
          <w:tcPr>
            <w:tcW w:w="830" w:type="pct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widowControl w:val="0"/>
              <w:tabs defTabSz="708"/>
              <w:rPr>
                <w:rFonts w:ascii="Times New Roman" w:hAnsi="Times New Roman" w:eastAsia="SimSun"/>
                <w:kern w:val="1"/>
                <w:lang w:val="ru-ru" w:eastAsia="zh-cn" w:bidi="ar-sa"/>
              </w:rPr>
            </w:pPr>
          </w:p>
        </w:tc>
        <w:tc>
          <w:tcPr>
            <w:tcW w:w="83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ind w:left="20"/>
              <w:spacing/>
              <w:jc w:val="both"/>
              <w:widowControl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</w:pPr>
            <w:r>
              <w:rPr>
                <w:noProof/>
              </w:rPr>
              <w:drawing>
                <wp:inline distT="0" distB="0" distL="0" distR="0">
                  <wp:extent cx="0" cy="0"/>
                  <wp:effectExtent l="0" t="0" r="0" b="0"/>
                  <wp:docPr id="10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>
                            <a:extLst>
                              <a:ext uri="smNativeData">
                                <sm:smNativeData xmlns:sm="smNativeData" val="SMDATA_14_N7NuY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AAAAAAAAAAAAAAAAAAAAAAAAAACgAAAAIAAAAAQAAAAEAAAA="/>
                              </a:ext>
                            </a:extLst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</w:r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 (</w:t>
            </w:r>
            <w:bookmarkStart w:id="236" w:name="r"/>
            <w:bookmarkEnd w:id="236"/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</w:r>
            <w:hyperlink r:id="rId58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2"/>
                  <w:szCs w:val="22"/>
                  <w:lang w:val="ru-ru" w:eastAsia="zh-cn" w:bidi="ar-sa"/>
                </w:rPr>
                <w:t>ст. 140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 подр. 3.2 р. 3 СВ - </w:t>
            </w:r>
            <w:bookmarkStart w:id="237" w:name="r"/>
            <w:bookmarkEnd w:id="237"/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</w:r>
            <w:hyperlink r:id="rId58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2"/>
                  <w:szCs w:val="22"/>
                  <w:lang w:val="ru-ru" w:eastAsia="zh-cn" w:bidi="ar-sa"/>
                </w:rPr>
                <w:t>ст. 160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 подр. 3.2 р. 3 СВ) по всем показателям </w:t>
            </w:r>
            <w:bookmarkStart w:id="238" w:name="r"/>
            <w:bookmarkEnd w:id="238"/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</w:r>
            <w:hyperlink r:id="rId58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2"/>
                  <w:szCs w:val="22"/>
                  <w:lang w:val="ru-ru" w:eastAsia="zh-cn" w:bidi="ar-sa"/>
                </w:rPr>
                <w:t>ст. 120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 подр. 3.2 р. 3 СВ) по представленным </w:t>
            </w:r>
            <w:bookmarkStart w:id="239" w:name="r"/>
            <w:bookmarkEnd w:id="239"/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</w:r>
            <w:hyperlink r:id="rId59" w:history="1">
              <w:r>
                <w:rPr>
                  <w:rStyle w:val="char1"/>
                  <w:rFonts w:ascii="Verdana" w:hAnsi="Verdana" w:eastAsia="SimSun"/>
                  <w:color w:val="000000"/>
                  <w:kern w:val="1"/>
                  <w:sz w:val="22"/>
                  <w:szCs w:val="22"/>
                  <w:lang w:val="ru-ru" w:eastAsia="zh-cn" w:bidi="ar-sa"/>
                </w:rPr>
                <w:t>подр. 3.2 р. 3</w:t>
              </w:r>
            </w:hyperlink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 в составе СВ со значениями </w:t>
            </w:r>
            <w:r>
              <w:rPr>
                <w:noProof/>
              </w:rPr>
              <w:drawing>
                <wp:inline distT="0" distB="0" distL="0" distR="0">
                  <wp:extent cx="0" cy="0"/>
                  <wp:effectExtent l="0" t="0" r="0" b="0"/>
                  <wp:docPr id="11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>
                            <a:extLst>
                              <a:ext uri="smNativeData">
                                <sm:smNativeData xmlns:sm="smNativeData" val="SMDATA_14_N7NuYB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AAAAAAAAAAAAAAAAAAAAAAAAAACgAAAAIAAAAAQAAAAEAAAA="/>
                              </a:ext>
                            </a:extLst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0 / количество месяцев получения сумм выплат и иных вознаграждений (при значении </w:t>
            </w:r>
            <w:r>
              <w:rPr>
                <w:noProof/>
              </w:rPr>
              <w:drawing>
                <wp:inline distT="0" distB="0" distL="0" distR="0">
                  <wp:extent cx="0" cy="0"/>
                  <wp:effectExtent l="0" t="0" r="0" b="0"/>
                  <wp:docPr id="1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>
                            <a:extLst>
                              <a:ext uri="smNativeData">
                                <sm:smNativeData xmlns:sm="smNativeData" val="SMDATA_14_N7NuY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AAAAAAAAAAAAAAAAAAAAAAAAAACgAAAAIAAAAAQAAAAEAAAA="/>
                              </a:ext>
                            </a:extLst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0) </w:t>
            </w:r>
            <w:r>
              <w:rPr>
                <w:noProof/>
              </w:rPr>
              <w:drawing>
                <wp:inline distT="0" distB="0" distL="0" distR="0">
                  <wp:extent cx="0" cy="0"/>
                  <wp:effectExtent l="0" t="0" r="0" b="0"/>
                  <wp:docPr id="1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>
                            <a:extLst>
                              <a:ext uri="smNativeData">
                                <sm:smNativeData xmlns:sm="smNativeData" val="SMDATA_14_N7NuY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AAAAAAAAAAAAAAAAAAAAAAAAAAACgAAAAIAAAAAQAAAAEAAAA="/>
                              </a:ext>
                            </a:extLst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SimSun"/>
                <w:color w:val="000000"/>
                <w:kern w:val="1"/>
                <w:sz w:val="22"/>
                <w:szCs w:val="22"/>
                <w:lang w:val="ru-ru" w:eastAsia="zh-cn" w:bidi="ar-sa"/>
              </w:rPr>
              <w:t xml:space="preserve">значение средней заработной платы в субъекте РФ по соответствующей отрасли в экономике (показатель кода вида экономической деятельности ОКВЭД2) </w:t>
            </w:r>
          </w:p>
        </w:tc>
        <w:tc>
          <w:tcPr>
            <w:tcW w:w="830" w:type="pct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widowControl w:val="0"/>
              <w:tabs defTabSz="708"/>
              <w:rPr>
                <w:rFonts w:ascii="Times New Roman" w:hAnsi="Times New Roman" w:eastAsia="SimSun"/>
                <w:color w:val="000000"/>
                <w:kern w:val="1"/>
                <w:lang w:val="ru-ru" w:eastAsia="zh-cn" w:bidi="ar-sa"/>
              </w:rPr>
            </w:pPr>
          </w:p>
        </w:tc>
        <w:tc>
          <w:tcPr>
            <w:tcW w:w="830" w:type="pct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widowControl w:val="0"/>
              <w:tabs defTabSz="708"/>
              <w:rPr>
                <w:rFonts w:ascii="Times New Roman" w:hAnsi="Times New Roman" w:eastAsia="SimSun"/>
                <w:kern w:val="1"/>
                <w:lang w:val="ru-ru" w:eastAsia="zh-cn" w:bidi="ar-sa"/>
              </w:rPr>
            </w:pPr>
          </w:p>
        </w:tc>
        <w:tc>
          <w:tcPr>
            <w:tcW w:w="830" w:type="pct"/>
            <w:vMerge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7867575" protected="0"/>
          </w:tcPr>
          <w:p>
            <w:pPr>
              <w:widowControl w:val="0"/>
              <w:tabs defTabSz="708"/>
              <w:rPr>
                <w:rFonts w:ascii="Times New Roman" w:hAnsi="Times New Roman" w:eastAsia="SimSun"/>
                <w:kern w:val="1"/>
                <w:lang w:val="ru-ru" w:eastAsia="zh-cn" w:bidi="ar-sa"/>
              </w:rPr>
            </w:pPr>
          </w:p>
        </w:tc>
      </w:tr>
    </w:tbl>
    <w:p>
      <w:pPr>
        <w:ind w:left="2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kern w:val="1"/>
          <w:lang w:val="ru-ru" w:eastAsia="zh-cn" w:bidi="ar-sa"/>
        </w:rPr>
      </w:pPr>
      <w:r>
        <w:rPr>
          <w:rFonts w:ascii="Times New Roman" w:hAnsi="Times New Roman" w:eastAsia="SimSun"/>
          <w:kern w:val="1"/>
          <w:lang w:val="ru-ru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440" w:top="1800" w:right="1440" w:bottom="180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黑体">
    <w:panose1 w:val="02010609030101010101"/>
    <w:charset w:val="86"/>
    <w:family w:val="modern"/>
    <w:pitch w:val="default"/>
  </w:font>
  <w:font w:name="Calibri">
    <w:panose1 w:val="020F0502020204030204"/>
    <w:charset w:val="00"/>
    <w:family w:val="swiss"/>
    <w:pitch w:val="default"/>
  </w:font>
  <w:font w:name="sans-serif">
    <w:panose1 w:val="020B0604020202020204"/>
    <w:charset w:val="00"/>
    <w:family w:val="auto"/>
    <w:pitch w:val="default"/>
  </w:font>
  <w:font w:name="Segoe Print">
    <w:panose1 w:val="02000600000000000000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6"/>
    <w:tmLastPosSelect w:val="0"/>
    <w:tmLastPosFrameIdx w:val="0"/>
    <w:tmLastPosCaret>
      <w:tmLastPosPgfIdx w:val="1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7867575" w:val="982" w:fileVer="342" w:fileVerOS="4"/>
  <w:guidesAndGrid showGuides="1" lockGuides="0" snapToGuides="1" snapToPageMargins="0" tolerance="8" gridDistanceHorizontal="283" gridDistanceVertical="156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lang w:val="en-us" w:eastAsia="zh-cn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lang w:val="en-us" w:eastAsia="zh-cn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yperlink" Target="http://www.consultant.ru/document/cons_doc_LAW_366819/895ea70959f807ca8b7fbb548a01e05fd27cb9af/#dst100597&quot;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consultant.ru/document/cons_doc_LAW_377370/e0b0bacc43879936cfcee26e50294e81d05b5cb1/#dst13645&quot;" TargetMode="External"/><Relationship Id="rId11" Type="http://schemas.openxmlformats.org/officeDocument/2006/relationships/hyperlink" Target="http://www.consultant.ru/document/cons_doc_LAW_366819/5bccd2a279064682be71441e47c9343f9ad55b27/#dst100099&quot;" TargetMode="External"/><Relationship Id="rId12" Type="http://schemas.openxmlformats.org/officeDocument/2006/relationships/hyperlink" Target="http://www.consultant.ru/document/cons_doc_LAW_366819/a19569d3e9af9e608afb737c407f860c49329184/#dst100105&quot;" TargetMode="External"/><Relationship Id="rId13" Type="http://schemas.openxmlformats.org/officeDocument/2006/relationships/hyperlink" Target="http://www.consultant.ru/document/cons_doc_LAW_366819/5bccd2a279064682be71441e47c9343f9ad55b27/#dst100101&quot;" TargetMode="External"/><Relationship Id="rId14" Type="http://schemas.openxmlformats.org/officeDocument/2006/relationships/hyperlink" Target="http://www.consultant.ru/document/cons_doc_LAW_366819/5bccd2a279064682be71441e47c9343f9ad55b27/#dst100102&quot;" TargetMode="External"/><Relationship Id="rId15" Type="http://schemas.openxmlformats.org/officeDocument/2006/relationships/hyperlink" Target="http://www.consultant.ru/document/cons_doc_LAW_366819/5bccd2a279064682be71441e47c9343f9ad55b27/#dst100103&quot;" TargetMode="External"/><Relationship Id="rId16" Type="http://schemas.openxmlformats.org/officeDocument/2006/relationships/hyperlink" Target="http://www.consultant.ru/document/cons_doc_LAW_366819/a19569d3e9af9e608afb737c407f860c49329184/#dst100107&quot;" TargetMode="External"/><Relationship Id="rId17" Type="http://schemas.openxmlformats.org/officeDocument/2006/relationships/hyperlink" Target="http://www.consultant.ru/document/cons_doc_LAW_366819/a19569d3e9af9e608afb737c407f860c49329184/#dst100108&quot;" TargetMode="External"/><Relationship Id="rId18" Type="http://schemas.openxmlformats.org/officeDocument/2006/relationships/hyperlink" Target="http://www.consultant.ru/document/cons_doc_LAW_366819/a19569d3e9af9e608afb737c407f860c49329184/#dst100109&quot;" TargetMode="External"/><Relationship Id="rId19" Type="http://schemas.openxmlformats.org/officeDocument/2006/relationships/hyperlink" Target="http://www.consultant.ru/document/cons_doc_LAW_366819/d0bb40a3270f795080cc8b395edb678c3ed3695c/#dst100321&quot;" TargetMode="External"/><Relationship Id="rId20" Type="http://schemas.openxmlformats.org/officeDocument/2006/relationships/hyperlink" Target="http://www.consultant.ru/document/cons_doc_LAW_366819/f257fec2457db308014b8c3e19acd4e4bfc6e512/#dst100059&quot;" TargetMode="External"/><Relationship Id="rId21" Type="http://schemas.openxmlformats.org/officeDocument/2006/relationships/hyperlink" Target="http://www.consultant.ru/document/cons_doc_LAW_366819/d0bb40a3270f795080cc8b395edb678c3ed3695c/#dst100277&quot;" TargetMode="External"/><Relationship Id="rId22" Type="http://schemas.openxmlformats.org/officeDocument/2006/relationships/hyperlink" Target="http://www.consultant.ru/document/cons_doc_LAW_377368/d063bb6c0a9ecaf015d02a2e02e66e8d0dd6ba21/#dst658&quot;" TargetMode="External"/><Relationship Id="rId23" Type="http://schemas.openxmlformats.org/officeDocument/2006/relationships/hyperlink" Target="http://www.consultant.ru/document/cons_doc_LAW_377368/27bc3d70f48f9fc1942ef1a177538d50aee316b7/#dst751&quot;" TargetMode="External"/><Relationship Id="rId24" Type="http://schemas.openxmlformats.org/officeDocument/2006/relationships/hyperlink" Target="http://www.consultant.ru/document/cons_doc_LAW_366819/d0bb40a3270f795080cc8b395edb678c3ed3695c/#dst100312&quot;" TargetMode="External"/><Relationship Id="rId25" Type="http://schemas.openxmlformats.org/officeDocument/2006/relationships/hyperlink" Target="http://www.consultant.ru/document/cons_doc_LAW_366819/5e11e8d863df3ff89f7434672cfdf75bddead3f0/#dst100428&quot;" TargetMode="External"/><Relationship Id="rId26" Type="http://schemas.openxmlformats.org/officeDocument/2006/relationships/hyperlink" Target="http://www.consultant.ru/document/cons_doc_LAW_377370/c5c16c86f95c5db63601047b1c0a5942bd77c824/#dst18937&quot;" TargetMode="External"/><Relationship Id="rId27" Type="http://schemas.openxmlformats.org/officeDocument/2006/relationships/hyperlink" Target="http://www.consultant.ru/document/cons_doc_LAW_366819/5e11e8d863df3ff89f7434672cfdf75bddead3f0/#dst100429&quot;" TargetMode="External"/><Relationship Id="rId28" Type="http://schemas.openxmlformats.org/officeDocument/2006/relationships/hyperlink" Target="http://www.consultant.ru/document/cons_doc_LAW_366819/5e11e8d863df3ff89f7434672cfdf75bddead3f0/#dst100431&quot;" TargetMode="External"/><Relationship Id="rId29" Type="http://schemas.openxmlformats.org/officeDocument/2006/relationships/hyperlink" Target="http://www.consultant.ru/document/cons_doc_LAW_377370/8dfc66340782162248d64306f483acdacf04e176/#dst101846&quot;" TargetMode="External"/><Relationship Id="rId30" Type="http://schemas.openxmlformats.org/officeDocument/2006/relationships/hyperlink" Target="http://www.consultant.ru/document/cons_doc_LAW_377370/c5c16c86f95c5db63601047b1c0a5942bd77c824/#dst14503&quot;" TargetMode="External"/><Relationship Id="rId31" Type="http://schemas.openxmlformats.org/officeDocument/2006/relationships/hyperlink" Target="http://www.consultant.ru/document/cons_doc_LAW_366819/5e11e8d863df3ff89f7434672cfdf75bddead3f0/#dst100432&quot;" TargetMode="External"/><Relationship Id="rId32" Type="http://schemas.openxmlformats.org/officeDocument/2006/relationships/hyperlink" Target="http://www.consultant.ru/document/cons_doc_LAW_366819/f8758ef74f7027b9bb9e7350b2271100b825093d/#dst100120&quot;" TargetMode="External"/><Relationship Id="rId33" Type="http://schemas.openxmlformats.org/officeDocument/2006/relationships/hyperlink" Target="http://www.consultant.ru/document/cons_doc_LAW_377370/c5c16c86f95c5db63601047b1c0a5942bd77c824/#dst18938&quot;" TargetMode="External"/><Relationship Id="rId34" Type="http://schemas.openxmlformats.org/officeDocument/2006/relationships/hyperlink" Target="http://www.consultant.ru/document/cons_doc_LAW_377370/c5c16c86f95c5db63601047b1c0a5942bd77c824/#dst18953&quot;" TargetMode="External"/><Relationship Id="rId35" Type="http://schemas.openxmlformats.org/officeDocument/2006/relationships/hyperlink" Target="http://www.consultant.ru/document/cons_doc_LAW_366819/a5946932ae5c5572754a59cda77628ce4897cfa6/#dst100563&quot;" TargetMode="External"/><Relationship Id="rId36" Type="http://schemas.openxmlformats.org/officeDocument/2006/relationships/hyperlink" Target="http://www.consultant.ru/document/cons_doc_LAW_377370/c03008a92ccba28226abe4034e9aa43e3a2ffeb4/#dst13620&quot;" TargetMode="External"/><Relationship Id="rId37" Type="http://schemas.openxmlformats.org/officeDocument/2006/relationships/hyperlink" Target="http://www.consultant.ru/document/cons_doc_LAW_366819/0a9f09bc8d6fbc74aea0ba7ffe32e13ccaf4fe02/#dst6&quot;" TargetMode="External"/><Relationship Id="rId38" Type="http://schemas.openxmlformats.org/officeDocument/2006/relationships/hyperlink" Target="http://www.consultant.ru/document/cons_doc_LAW_366412/21dfffbda3b822eed7b300b934acf54d58fa24c3/#dst100073&quot;" TargetMode="External"/><Relationship Id="rId39" Type="http://schemas.openxmlformats.org/officeDocument/2006/relationships/hyperlink" Target="http://www.consultant.ru/document/cons_doc_LAW_366412/21dfffbda3b822eed7b300b934acf54d58fa24c3/#dst100070&quot;" TargetMode="External"/><Relationship Id="rId40" Type="http://schemas.openxmlformats.org/officeDocument/2006/relationships/hyperlink" Target="http://www.consultant.ru/document/cons_doc_LAW_366819/f8758ef74f7027b9bb9e7350b2271100b825093d/#dst100137&quot;" TargetMode="External"/><Relationship Id="rId41" Type="http://schemas.openxmlformats.org/officeDocument/2006/relationships/hyperlink" Target="http://www.consultant.ru/document/cons_doc_LAW_366412/ab464726ed713efeca5c68c6e19aafa83270bd25/#dst100110&quot;" TargetMode="External"/><Relationship Id="rId42" Type="http://schemas.openxmlformats.org/officeDocument/2006/relationships/hyperlink" Target="http://www.consultant.ru/document/cons_doc_LAW_366412/ab464726ed713efeca5c68c6e19aafa83270bd25/#dst100112&quot;" TargetMode="External"/><Relationship Id="rId43" Type="http://schemas.openxmlformats.org/officeDocument/2006/relationships/hyperlink" Target="http://www.consultant.ru/document/cons_doc_LAW_366819/f8758ef74f7027b9bb9e7350b2271100b825093d/#dst100117&quot;" TargetMode="External"/><Relationship Id="rId44" Type="http://schemas.openxmlformats.org/officeDocument/2006/relationships/hyperlink" Target="http://www.consultant.ru/document/cons_doc_LAW_366819/a71a6a01aee8a128eab4770ff4e2d58b705d7d07/#dst100116&quot;" TargetMode="External"/><Relationship Id="rId45" Type="http://schemas.openxmlformats.org/officeDocument/2006/relationships/hyperlink" Target="http://www.consultant.ru/document/cons_doc_LAW_366819/f8758ef74f7027b9bb9e7350b2271100b825093d/#dst100119&quot;" TargetMode="External"/><Relationship Id="rId46" Type="http://schemas.openxmlformats.org/officeDocument/2006/relationships/hyperlink" Target="http://www.consultant.ru/document/cons_doc_LAW_366819/cf9cb9875c29023adfe879916fa1dd45e8ddacac/#dst100161&quot;" TargetMode="External"/><Relationship Id="rId47" Type="http://schemas.openxmlformats.org/officeDocument/2006/relationships/hyperlink" Target="http://www.consultant.ru/document/cons_doc_LAW_366819/cf9cb9875c29023adfe879916fa1dd45e8ddacac/#dst100163&quot;" TargetMode="External"/><Relationship Id="rId48" Type="http://schemas.openxmlformats.org/officeDocument/2006/relationships/hyperlink" Target="http://www.consultant.ru/document/cons_doc_LAW_366819/d0bb40a3270f795080cc8b395edb678c3ed3695c/#dst100279&quot;" TargetMode="External"/><Relationship Id="rId49" Type="http://schemas.openxmlformats.org/officeDocument/2006/relationships/hyperlink" Target="http://www.consultant.ru/document/cons_doc_LAW_366819/d0bb40a3270f795080cc8b395edb678c3ed3695c/#dst100281&quot;" TargetMode="External"/><Relationship Id="rId50" Type="http://schemas.openxmlformats.org/officeDocument/2006/relationships/hyperlink" Target="http://www.consultant.ru/document/cons_doc_LAW_194369/20441652938767da978011367addeb4878a985aa/#dst100022&quot;" TargetMode="External"/><Relationship Id="rId51" Type="http://schemas.openxmlformats.org/officeDocument/2006/relationships/hyperlink" Target="http://www.consultant.ru/document/cons_doc_LAW_194369/20441652938767da978011367addeb4878a985aa/#dst100012&quot;" TargetMode="External"/><Relationship Id="rId52" Type="http://schemas.openxmlformats.org/officeDocument/2006/relationships/hyperlink" Target="https://login.consultant.ru/link/?rnd=54B2336244D225D1C2DA38380F70394A&amp;req=doc&amp;base=RZR&amp;n=377368&amp;dst=101202&amp;fld=134&amp;REFFIELD=134&amp;REFDST=101439&amp;REFDOC=379910&amp;REFBASE=RZR&amp;stat=refcode%3D16876%3Bdstident%3D101202%3Bindex%3D1723&amp;date=08.04.2021" TargetMode="External"/><Relationship Id="rId53" Type="http://schemas.openxmlformats.org/officeDocument/2006/relationships/hyperlink" Target="https://login.consultant.ru/link/?rnd=54B2336244D225D1C2DA38380F70394A&amp;req=doc&amp;base=RZR&amp;n=377370&amp;dst=13402&amp;fld=134&amp;REFFIELD=134&amp;REFDST=101439&amp;REFDOC=379910&amp;REFBASE=RZR&amp;stat=refcode%3D16876%3Bdstident%3D13402%3Bindex%3D1723&amp;date=08.04.2021" TargetMode="External"/><Relationship Id="rId54" Type="http://schemas.openxmlformats.org/officeDocument/2006/relationships/hyperlink" Target="https://login.consultant.ru/link/?rnd=54B2336244D225D1C2DA38380F70394A&amp;req=doc&amp;base=RZR&amp;n=377370&amp;dst=13645&amp;fld=134&amp;REFFIELD=134&amp;REFDST=101439&amp;REFDOC=379910&amp;REFBASE=RZR&amp;stat=refcode%3D16876%3Bdstident%3D13645%3Bindex%3D1723&amp;date=08.04.2021" TargetMode="External"/><Relationship Id="rId55" Type="http://schemas.openxmlformats.org/officeDocument/2006/relationships/hyperlink" Target="https://login.consultant.ru/link/?rnd=54B2336244D225D1C2DA38380F70394A&amp;req=doc&amp;base=RZR&amp;n=378776&amp;dst=1443&amp;fld=134&amp;REFFIELD=134&amp;REFDST=101439&amp;REFDOC=379910&amp;REFBASE=RZR&amp;stat=refcode%3D16876%3Bdstident%3D1443%3Bindex%3D1723&amp;date=08.04.2021" TargetMode="External"/><Relationship Id="rId56" Type="http://schemas.openxmlformats.org/officeDocument/2006/relationships/hyperlink" Target="https://login.consultant.ru/link/?rnd=54B2336244D225D1C2DA38380F70394A&amp;req=doc&amp;base=RZR&amp;n=378776&amp;dst=1450&amp;fld=134&amp;REFFIELD=134&amp;REFDST=101439&amp;REFDOC=379910&amp;REFBASE=RZR&amp;stat=refcode%3D16876%3Bdstident%3D1450%3Bindex%3D1723&amp;date=08.04.2021" TargetMode="External"/><Relationship Id="rId57" Type="http://schemas.openxmlformats.org/officeDocument/2006/relationships/hyperlink" Target="https://login.consultant.ru/link/?rnd=54B2336244D225D1C2DA38380F70394A&amp;req=doc&amp;base=RZR&amp;n=377368&amp;dst=661&amp;fld=134&amp;REFFIELD=134&amp;REFDST=101441&amp;REFDOC=379910&amp;REFBASE=RZR&amp;stat=refcode%3D16876%3Bdstident%3D661%3Bindex%3D1725&amp;date=08.04.2021" TargetMode="External"/><Relationship Id="rId58" Type="http://schemas.openxmlformats.org/officeDocument/2006/relationships/hyperlink" Target="https://login.consultant.ru/link/?rnd=54B2336244D225D1C2DA38380F70394A&amp;req=doc&amp;base=RZR&amp;n=366819&amp;dst=100597&amp;fld=134&amp;REFFIELD=134&amp;REFDST=101442&amp;REFDOC=379910&amp;REFBASE=RZR&amp;stat=refcode%3D16876%3Bdstident%3D100597%3Bindex%3D1727&amp;date=08.04.2021" TargetMode="External"/><Relationship Id="rId59" Type="http://schemas.openxmlformats.org/officeDocument/2006/relationships/hyperlink" Target="https://login.consultant.ru/link/?rnd=54B2336244D225D1C2DA38380F70394A&amp;req=doc&amp;base=RZR&amp;n=366819&amp;dst=100594&amp;fld=134&amp;REFFIELD=134&amp;REFDST=101442&amp;REFDOC=379910&amp;REFBASE=RZR&amp;stat=refcode%3D16876%3Bdstident%3D100594%3Bindex%3D1727&amp;date=08.04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odayn</dc:creator>
  <cp:keywords/>
  <dc:description/>
  <cp:lastModifiedBy/>
  <cp:revision>2</cp:revision>
  <cp:lastPrinted>2021-04-08T07:39:51Z</cp:lastPrinted>
  <dcterms:created xsi:type="dcterms:W3CDTF">2021-04-07T15:13:00Z</dcterms:created>
  <dcterms:modified xsi:type="dcterms:W3CDTF">2021-04-08T07:39:35Z</dcterms:modified>
</cp:coreProperties>
</file>