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B1" w:rsidRPr="00BF3C45" w:rsidRDefault="007133B1" w:rsidP="007133B1">
      <w:pPr>
        <w:spacing w:line="160" w:lineRule="atLeast"/>
        <w:jc w:val="center"/>
      </w:pPr>
      <w:r w:rsidRPr="00BF3C45">
        <w:t xml:space="preserve">Общество с ограниченной ответственностью </w:t>
      </w:r>
      <w:r w:rsidR="00BF3C45" w:rsidRPr="00BF3C45">
        <w:t>«Clubtk.ru»</w:t>
      </w:r>
    </w:p>
    <w:p w:rsidR="007133B1" w:rsidRPr="00BF3C45" w:rsidRDefault="007133B1" w:rsidP="007133B1">
      <w:pPr>
        <w:spacing w:line="160" w:lineRule="atLeast"/>
        <w:jc w:val="center"/>
      </w:pPr>
      <w:r w:rsidRPr="00BF3C45">
        <w:t>123456, Санкт-Петербург, улица Правды, дом 1</w:t>
      </w:r>
    </w:p>
    <w:p w:rsidR="007133B1" w:rsidRPr="00BF3C45" w:rsidRDefault="007133B1" w:rsidP="007133B1">
      <w:pPr>
        <w:spacing w:line="160" w:lineRule="atLeast"/>
        <w:jc w:val="center"/>
      </w:pPr>
      <w:r w:rsidRPr="00BF3C45">
        <w:t xml:space="preserve">тел/факс (812)7121212, </w:t>
      </w:r>
      <w:proofErr w:type="gramStart"/>
      <w:r w:rsidRPr="00BF3C45">
        <w:rPr>
          <w:lang w:val="en-US"/>
        </w:rPr>
        <w:t>e</w:t>
      </w:r>
      <w:r w:rsidRPr="00BF3C45">
        <w:t>-</w:t>
      </w:r>
      <w:r w:rsidRPr="00BF3C45">
        <w:rPr>
          <w:lang w:val="en-US"/>
        </w:rPr>
        <w:t>mail</w:t>
      </w:r>
      <w:r w:rsidRPr="00BF3C45">
        <w:t>:</w:t>
      </w:r>
      <w:r w:rsidRPr="00BF3C45">
        <w:rPr>
          <w:lang w:val="en-US"/>
        </w:rPr>
        <w:t>info</w:t>
      </w:r>
      <w:r w:rsidRPr="00BF3C45">
        <w:t>@</w:t>
      </w:r>
      <w:r w:rsidRPr="00BF3C45">
        <w:rPr>
          <w:lang w:val="en-US"/>
        </w:rPr>
        <w:t>pion</w:t>
      </w:r>
      <w:r w:rsidRPr="00BF3C45">
        <w:t>.</w:t>
      </w:r>
      <w:r w:rsidRPr="00BF3C45">
        <w:rPr>
          <w:lang w:val="en-US"/>
        </w:rPr>
        <w:t>ru</w:t>
      </w:r>
      <w:proofErr w:type="gramEnd"/>
      <w:r w:rsidRPr="00BF3C45">
        <w:t xml:space="preserve">, </w:t>
      </w:r>
      <w:r w:rsidRPr="00BF3C45">
        <w:rPr>
          <w:lang w:val="en-US"/>
        </w:rPr>
        <w:t>http</w:t>
      </w:r>
      <w:r w:rsidRPr="00BF3C45">
        <w:t>://</w:t>
      </w:r>
      <w:r w:rsidRPr="00BF3C45">
        <w:rPr>
          <w:lang w:val="en-US"/>
        </w:rPr>
        <w:t>www</w:t>
      </w:r>
      <w:r w:rsidRPr="00BF3C45">
        <w:t>.</w:t>
      </w:r>
      <w:r w:rsidRPr="00BF3C45">
        <w:rPr>
          <w:lang w:val="en-US"/>
        </w:rPr>
        <w:t>pion</w:t>
      </w:r>
      <w:r w:rsidRPr="00BF3C45">
        <w:t>.</w:t>
      </w:r>
      <w:r w:rsidRPr="00BF3C45">
        <w:rPr>
          <w:lang w:val="en-US"/>
        </w:rPr>
        <w:t>ru</w:t>
      </w:r>
    </w:p>
    <w:p w:rsidR="007133B1" w:rsidRPr="00BF3C45" w:rsidRDefault="007133B1" w:rsidP="007133B1">
      <w:pPr>
        <w:spacing w:line="160" w:lineRule="atLeast"/>
        <w:jc w:val="center"/>
      </w:pPr>
      <w:r w:rsidRPr="00BF3C45">
        <w:t>ОГРН/ ОКПО 1234567891011/ 12345678</w:t>
      </w:r>
    </w:p>
    <w:p w:rsidR="007133B1" w:rsidRPr="00BF3C45" w:rsidRDefault="007133B1" w:rsidP="007133B1">
      <w:pPr>
        <w:pBdr>
          <w:bottom w:val="single" w:sz="12" w:space="1" w:color="auto"/>
        </w:pBdr>
        <w:spacing w:line="160" w:lineRule="atLeast"/>
        <w:jc w:val="center"/>
      </w:pPr>
      <w:r w:rsidRPr="00BF3C45">
        <w:t>ИНН/КПП 1213141516/111111111</w:t>
      </w:r>
    </w:p>
    <w:p w:rsidR="007133B1" w:rsidRDefault="007133B1" w:rsidP="007133B1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7133B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33B1" w:rsidRPr="00B7464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133B1" w:rsidRPr="00B7464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ООО </w:t>
      </w:r>
      <w:r w:rsidR="00BF3C45" w:rsidRPr="00BF3C45">
        <w:rPr>
          <w:rFonts w:ascii="Times New Roman" w:hAnsi="Times New Roman" w:cs="Times New Roman"/>
          <w:sz w:val="24"/>
          <w:szCs w:val="24"/>
        </w:rPr>
        <w:t>«Clubtk.ru»</w:t>
      </w:r>
    </w:p>
    <w:p w:rsidR="007133B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</w:t>
      </w:r>
      <w:r w:rsidR="00BF3C45">
        <w:rPr>
          <w:rFonts w:ascii="Times New Roman" w:hAnsi="Times New Roman" w:cs="Times New Roman"/>
          <w:sz w:val="24"/>
          <w:szCs w:val="24"/>
        </w:rPr>
        <w:t xml:space="preserve"> </w:t>
      </w:r>
      <w:r w:rsidRPr="00B74641">
        <w:rPr>
          <w:rFonts w:ascii="Times New Roman" w:hAnsi="Times New Roman" w:cs="Times New Roman"/>
          <w:sz w:val="24"/>
          <w:szCs w:val="24"/>
        </w:rPr>
        <w:t>В.</w:t>
      </w:r>
    </w:p>
    <w:p w:rsidR="007133B1" w:rsidRDefault="007133B1" w:rsidP="00713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33B1" w:rsidRDefault="007133B1" w:rsidP="00D3220A">
      <w:pPr>
        <w:pStyle w:val="ConsPlusNonformat"/>
        <w:jc w:val="right"/>
        <w:rPr>
          <w:color w:val="000000" w:themeColor="text1"/>
        </w:rPr>
      </w:pPr>
      <w:r w:rsidRPr="007133B1">
        <w:rPr>
          <w:rFonts w:ascii="Times New Roman" w:hAnsi="Times New Roman" w:cs="Times New Roman"/>
          <w:sz w:val="24"/>
          <w:szCs w:val="24"/>
        </w:rPr>
        <w:t>29.</w:t>
      </w:r>
      <w:r w:rsidR="00BF3C45">
        <w:rPr>
          <w:rFonts w:ascii="Times New Roman" w:hAnsi="Times New Roman" w:cs="Times New Roman"/>
          <w:sz w:val="24"/>
          <w:szCs w:val="24"/>
        </w:rPr>
        <w:t>1</w:t>
      </w:r>
      <w:r w:rsidRPr="007133B1">
        <w:rPr>
          <w:rFonts w:ascii="Times New Roman" w:hAnsi="Times New Roman" w:cs="Times New Roman"/>
          <w:sz w:val="24"/>
          <w:szCs w:val="24"/>
        </w:rPr>
        <w:t>1.20</w:t>
      </w:r>
      <w:r w:rsidR="00BF3C45">
        <w:rPr>
          <w:rFonts w:ascii="Times New Roman" w:hAnsi="Times New Roman" w:cs="Times New Roman"/>
          <w:sz w:val="24"/>
          <w:szCs w:val="24"/>
        </w:rPr>
        <w:t>22</w:t>
      </w:r>
    </w:p>
    <w:p w:rsidR="007133B1" w:rsidRDefault="007133B1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Pr="00D3220A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b/>
          <w:color w:val="000000" w:themeColor="text1"/>
        </w:rPr>
      </w:pPr>
      <w:r w:rsidRPr="00D3220A">
        <w:rPr>
          <w:b/>
          <w:color w:val="000000" w:themeColor="text1"/>
        </w:rPr>
        <w:t>ПОЛОЖЕНИЕ</w:t>
      </w:r>
      <w:r w:rsidRPr="00D3220A">
        <w:rPr>
          <w:b/>
          <w:color w:val="000000" w:themeColor="text1"/>
        </w:rPr>
        <w:br/>
        <w:t>о премировании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1. Общие положения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  <w:bookmarkStart w:id="0" w:name="_GoBack"/>
      <w:bookmarkEnd w:id="0"/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1.1. Настоящее положение предусматривает порядок и условия выплаты работникам </w:t>
      </w:r>
      <w:r>
        <w:rPr>
          <w:color w:val="000000" w:themeColor="text1"/>
        </w:rPr>
        <w:br/>
        <w:t xml:space="preserve">дополнительно к заработной плате материального поощрения в виде премий за надлежащее </w:t>
      </w:r>
      <w:r>
        <w:rPr>
          <w:color w:val="000000" w:themeColor="text1"/>
        </w:rPr>
        <w:br/>
        <w:t>выполнение трудовых функций при соблюдении ими условий премирования.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1.2. Положение направлено на повышение материальной заинтересованности работников в </w:t>
      </w:r>
      <w:r>
        <w:rPr>
          <w:color w:val="000000" w:themeColor="text1"/>
        </w:rPr>
        <w:br/>
        <w:t xml:space="preserve">своевременном и качественном выполнении трудовых обязанностей, а также повышение </w:t>
      </w:r>
      <w:r>
        <w:rPr>
          <w:color w:val="000000" w:themeColor="text1"/>
        </w:rPr>
        <w:br/>
        <w:t xml:space="preserve">эффективности работы и улучшение ее качества. Начисление и выплата премий производится на </w:t>
      </w:r>
      <w:r>
        <w:rPr>
          <w:color w:val="000000" w:themeColor="text1"/>
        </w:rPr>
        <w:br/>
        <w:t>основании индивидуальной оценки труда каждого работника.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1.3. Премии выплачиваются из фонда оплаты труда Работодателя.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t xml:space="preserve">1.4. Основанием для начисления премии являются данные бухгалтерской, статистической </w:t>
      </w:r>
      <w:r>
        <w:rPr>
          <w:color w:val="000000" w:themeColor="text1"/>
        </w:rPr>
        <w:br/>
        <w:t>отчетности и оперативного учета.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</w:pPr>
      <w:r>
        <w:rPr>
          <w:color w:val="000000" w:themeColor="text1"/>
        </w:rPr>
        <w:t>2. Показатели премирования и размеры премий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2.1. Для всех работников, на которых распространяется настоящее Положение, основным </w:t>
      </w:r>
      <w:r>
        <w:rPr>
          <w:color w:val="000000" w:themeColor="text1"/>
        </w:rPr>
        <w:br/>
        <w:t xml:space="preserve">условием премирования является выполнение плана по финансовому результату деятельности </w:t>
      </w:r>
      <w:r>
        <w:rPr>
          <w:color w:val="000000" w:themeColor="text1"/>
        </w:rPr>
        <w:br/>
      </w:r>
      <w:r>
        <w:rPr>
          <w:rStyle w:val="fill"/>
          <w:b w:val="0"/>
          <w:i w:val="0"/>
          <w:color w:val="000000" w:themeColor="text1"/>
        </w:rPr>
        <w:t xml:space="preserve">ООО </w:t>
      </w:r>
      <w:r w:rsidR="003B5B9A" w:rsidRPr="003B5B9A">
        <w:rPr>
          <w:rStyle w:val="fill"/>
          <w:b w:val="0"/>
          <w:i w:val="0"/>
          <w:color w:val="000000" w:themeColor="text1"/>
        </w:rPr>
        <w:t>«Clubtk.ru»</w:t>
      </w:r>
      <w:r w:rsidR="003B5B9A">
        <w:rPr>
          <w:rStyle w:val="fill"/>
          <w:b w:val="0"/>
          <w:i w:val="0"/>
          <w:color w:val="000000" w:themeColor="text1"/>
        </w:rPr>
        <w:t>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2.2. Дополнительные условия премирования за месяц и полугодие, а также основные и дополнительные показатели премирования за месяц и полугодие приведены в таблице ниже.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tbl>
      <w:tblPr>
        <w:tblW w:w="9165" w:type="dxa"/>
        <w:tblInd w:w="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2010"/>
        <w:gridCol w:w="2294"/>
        <w:gridCol w:w="2476"/>
        <w:gridCol w:w="1695"/>
      </w:tblGrid>
      <w:tr w:rsidR="004C1212">
        <w:tc>
          <w:tcPr>
            <w:tcW w:w="6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r>
              <w:rPr>
                <w:color w:val="000000" w:themeColor="text1"/>
                <w:sz w:val="22"/>
                <w:szCs w:val="22"/>
              </w:rPr>
              <w:t>№п/п</w:t>
            </w:r>
          </w:p>
        </w:tc>
        <w:tc>
          <w:tcPr>
            <w:tcW w:w="2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подразделений, </w:t>
            </w:r>
            <w:r>
              <w:rPr>
                <w:color w:val="000000" w:themeColor="text1"/>
                <w:sz w:val="22"/>
                <w:szCs w:val="22"/>
              </w:rPr>
              <w:br/>
              <w:t>служб, должностей</w:t>
            </w:r>
          </w:p>
        </w:tc>
        <w:tc>
          <w:tcPr>
            <w:tcW w:w="22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Дополнительные </w:t>
            </w:r>
            <w:r>
              <w:rPr>
                <w:color w:val="000000" w:themeColor="text1"/>
                <w:sz w:val="22"/>
                <w:szCs w:val="22"/>
              </w:rPr>
              <w:br/>
              <w:t>условия премирования</w:t>
            </w:r>
          </w:p>
        </w:tc>
        <w:tc>
          <w:tcPr>
            <w:tcW w:w="41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Показатели премирования</w:t>
            </w:r>
          </w:p>
        </w:tc>
      </w:tr>
      <w:tr w:rsidR="004C1212">
        <w:tc>
          <w:tcPr>
            <w:tcW w:w="69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основные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дополнительные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Административный отдел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Секретарь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генерального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директора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Заместитель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генерального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директора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Переводчик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обоснованных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претензий к качеству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срокам выполнения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работ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Бухгалтерия 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Главный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бухгалтер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Бухгалтер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Младший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бухгалтер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обоснованных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претензий к работе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бухгалтерии со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стороны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подразделений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бухгалтерских ошибок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 ведомым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направлениям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Юридический отдел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Начальник отдела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Юрисконсульт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Снижение числа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судебных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разбирательств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участием ООО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3B5B9A" w:rsidRPr="003B5B9A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«Clubtk.ru»</w:t>
            </w:r>
            <w:r w:rsidR="003B5B9A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сравнению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аналогичным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периодом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предыдущего года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 случаев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нарушения трудового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законодательства,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своевременная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подготовка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документов по защите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законных прав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интересов организации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Отдел кадров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Начальник отдела</w:t>
            </w:r>
          </w:p>
          <w:p w:rsidR="004C1212" w:rsidRDefault="00A754A4">
            <w:pPr>
              <w:pStyle w:val="ae"/>
              <w:spacing w:beforeAutospacing="0" w:afterAutospacing="0"/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</w:rPr>
              <w:t>Инспектор по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</w:rPr>
              <w:t>кадрам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Выполнение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плановых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показателей по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труду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Снижение числа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случаев нарушений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трудовой дисциплины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 сравнению с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аналогичным периодом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предыдущего года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 каждый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процент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снижения 5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процентов</w:t>
            </w:r>
          </w:p>
        </w:tc>
      </w:tr>
      <w:tr w:rsidR="004C1212"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Хозяйственный отдел</w:t>
            </w:r>
          </w:p>
        </w:tc>
      </w:tr>
      <w:tr w:rsidR="004C1212">
        <w:tc>
          <w:tcPr>
            <w:tcW w:w="6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Кладовщик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Исполнение сметы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Отсутствие случаев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хищения имущества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 каждый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процент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экономии 10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процентов</w:t>
            </w:r>
          </w:p>
        </w:tc>
      </w:tr>
      <w:tr w:rsidR="004C1212">
        <w:tc>
          <w:tcPr>
            <w:tcW w:w="69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Уборщик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служебных и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производственных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помещений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Содержание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закрепленных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помещений в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надлежащем порядке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69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rPr>
          <w:trHeight w:hRule="exact" w:val="23"/>
        </w:trPr>
        <w:tc>
          <w:tcPr>
            <w:tcW w:w="69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</w:tr>
    </w:tbl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2.3. Премия по итогам года выплачивается лучшим сотрудникам. На выплату годовой премии в первую очередь могут претендовать сотрудники, превысившие плановые показатели по труду, и сотрудники, получившие максимальные оценки на ежегодной аттестации. Конкретный список сотрудников для получения годовой премии утверждается решением директора Общества.</w:t>
      </w:r>
      <w:r>
        <w:rPr>
          <w:color w:val="000000" w:themeColor="text1"/>
        </w:rPr>
        <w:br/>
        <w:t>2.4. Премии устанавливаются в размере: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>
        <w:rPr>
          <w:rStyle w:val="fill"/>
          <w:b w:val="0"/>
          <w:i w:val="0"/>
          <w:color w:val="000000" w:themeColor="text1"/>
        </w:rPr>
        <w:t>за год – до 100 процентов от величины зарплаты согласно трудовому договору;</w:t>
      </w:r>
      <w:r>
        <w:rPr>
          <w:color w:val="000000" w:themeColor="text1"/>
        </w:rPr>
        <w:br/>
        <w:t xml:space="preserve">– </w:t>
      </w:r>
      <w:r>
        <w:rPr>
          <w:rStyle w:val="fill"/>
          <w:b w:val="0"/>
          <w:i w:val="0"/>
          <w:color w:val="000000" w:themeColor="text1"/>
        </w:rPr>
        <w:t>за полугодие – до 50 процентов от величины заработной платы, согласно трудовому</w:t>
      </w:r>
      <w:r>
        <w:rPr>
          <w:iCs/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rStyle w:val="fill"/>
          <w:b w:val="0"/>
          <w:i w:val="0"/>
          <w:color w:val="000000" w:themeColor="text1"/>
        </w:rPr>
        <w:t>договору</w:t>
      </w:r>
      <w:r>
        <w:rPr>
          <w:color w:val="000000" w:themeColor="text1"/>
        </w:rPr>
        <w:t>;</w:t>
      </w:r>
      <w:r>
        <w:rPr>
          <w:color w:val="000000" w:themeColor="text1"/>
        </w:rPr>
        <w:br/>
        <w:t xml:space="preserve">– </w:t>
      </w:r>
      <w:r>
        <w:rPr>
          <w:rStyle w:val="fill"/>
          <w:b w:val="0"/>
          <w:i w:val="0"/>
          <w:color w:val="000000" w:themeColor="text1"/>
        </w:rPr>
        <w:t>ежемесячно – в индивидуальном порядке в пределах суммы, указанной в трудовом договоре</w:t>
      </w:r>
      <w:r>
        <w:rPr>
          <w:color w:val="000000" w:themeColor="text1"/>
        </w:rPr>
        <w:t>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2.5. Работникам, проработавшим неполное количество рабочих дней в месяце, текущие премии </w:t>
      </w:r>
      <w:r>
        <w:rPr>
          <w:color w:val="000000" w:themeColor="text1"/>
        </w:rPr>
        <w:br/>
        <w:t>выплачиваются пропорционально отработанному времени.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2.6. Премии за полугодие или год могут быть выплачены только тем сотрудникам, которые отработали не менее шести месяцев текущего финансового года.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</w:pPr>
      <w:r>
        <w:rPr>
          <w:color w:val="000000" w:themeColor="text1"/>
        </w:rPr>
        <w:t>3. Порядок премирования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3.1. Премии выплачиваются по результатам работы за месяц, за полугодие и за год.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t xml:space="preserve">3.2. Премии выплачиваются на основании приказа руководителя организации по представлению </w:t>
      </w:r>
      <w:r>
        <w:rPr>
          <w:color w:val="000000" w:themeColor="text1"/>
        </w:rPr>
        <w:br/>
        <w:t>руководителей подразделений организации вместе с заработной платой за прошедший месяц.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</w:pPr>
      <w:r>
        <w:rPr>
          <w:color w:val="000000" w:themeColor="text1"/>
        </w:rPr>
        <w:t>4. Условия снижения премий и их невыплаты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4.1. Работникам не выплачивается премия (полностью или частично) в случае </w:t>
      </w:r>
      <w:r>
        <w:rPr>
          <w:color w:val="000000" w:themeColor="text1"/>
        </w:rPr>
        <w:br/>
        <w:t xml:space="preserve">неудовлетворительной работы, невыполнения должностных обязанностей, перечисленных в </w:t>
      </w:r>
      <w:r>
        <w:rPr>
          <w:color w:val="000000" w:themeColor="text1"/>
        </w:rPr>
        <w:br/>
        <w:t xml:space="preserve">настоящем Положении, трудовом договоре, иных локальных нормативных актах или </w:t>
      </w:r>
      <w:r>
        <w:rPr>
          <w:color w:val="000000" w:themeColor="text1"/>
        </w:rPr>
        <w:br/>
        <w:t>законодательстве РФ. Основанием для невыплаты является служебная записка руководителя</w:t>
      </w:r>
      <w:r>
        <w:rPr>
          <w:color w:val="000000" w:themeColor="text1"/>
        </w:rPr>
        <w:br/>
        <w:t xml:space="preserve"> структурного подразделения о допущенном нарушении.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4.2. Невыплата работнику премии полностью или частично производится на основании приказа </w:t>
      </w:r>
      <w:r>
        <w:rPr>
          <w:color w:val="000000" w:themeColor="text1"/>
        </w:rPr>
        <w:br/>
        <w:t xml:space="preserve">(распоряжения) руководителя (заместителя руководителя) с обязательным указанием причин </w:t>
      </w:r>
      <w:r>
        <w:rPr>
          <w:color w:val="000000" w:themeColor="text1"/>
        </w:rPr>
        <w:br/>
        <w:t xml:space="preserve">невыплаты или уменьшения размера премии независимо от применения к нему мер </w:t>
      </w:r>
      <w:r>
        <w:rPr>
          <w:color w:val="000000" w:themeColor="text1"/>
        </w:rPr>
        <w:br/>
        <w:t>дисциплинарного взыскания.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 xml:space="preserve">4.3. Премия работникам может быть полностью или частично не выплачена в следующих </w:t>
      </w:r>
      <w:r>
        <w:rPr>
          <w:color w:val="000000" w:themeColor="text1"/>
        </w:rPr>
        <w:br/>
        <w:t>случаях:</w:t>
      </w:r>
      <w:r>
        <w:rPr>
          <w:color w:val="000000" w:themeColor="text1"/>
        </w:rPr>
        <w:br/>
        <w:t xml:space="preserve">– невыполнения или ненадлежащего выполнения должностных обязанностей, предусмотренных </w:t>
      </w:r>
      <w:r>
        <w:rPr>
          <w:color w:val="000000" w:themeColor="text1"/>
        </w:rPr>
        <w:br/>
        <w:t>трудовым договором или должностными инструкциями;</w:t>
      </w:r>
      <w:r>
        <w:rPr>
          <w:color w:val="000000" w:themeColor="text1"/>
        </w:rPr>
        <w:br/>
        <w:t xml:space="preserve">– невыполнения производственных и технологических инструкций, положений, регламентов, </w:t>
      </w:r>
      <w:r>
        <w:rPr>
          <w:color w:val="000000" w:themeColor="text1"/>
        </w:rPr>
        <w:br/>
        <w:t>требований по охране труда и техники безопасности;</w:t>
      </w:r>
      <w:r>
        <w:rPr>
          <w:color w:val="000000" w:themeColor="text1"/>
        </w:rPr>
        <w:br/>
        <w:t xml:space="preserve">– нарушения установленных администрацией требований оформления документации и </w:t>
      </w:r>
      <w:r>
        <w:rPr>
          <w:color w:val="000000" w:themeColor="text1"/>
        </w:rPr>
        <w:br/>
        <w:t>результатов работ;</w:t>
      </w:r>
      <w:r>
        <w:rPr>
          <w:color w:val="000000" w:themeColor="text1"/>
        </w:rPr>
        <w:br/>
        <w:t xml:space="preserve">– нарушения сроков выполнения или сдачи работ, установленных приказами и распоряжениями </w:t>
      </w:r>
      <w:r>
        <w:rPr>
          <w:color w:val="000000" w:themeColor="text1"/>
        </w:rPr>
        <w:br/>
        <w:t>администрации или договорными обязательствами;</w:t>
      </w:r>
      <w:r>
        <w:rPr>
          <w:color w:val="000000" w:themeColor="text1"/>
        </w:rPr>
        <w:br/>
        <w:t xml:space="preserve">– невыполнения приказов, указаний и поручений непосредственного руководства либо </w:t>
      </w:r>
      <w:r>
        <w:rPr>
          <w:color w:val="000000" w:themeColor="text1"/>
        </w:rPr>
        <w:br/>
        <w:t>администрации;</w:t>
      </w:r>
      <w:r>
        <w:rPr>
          <w:color w:val="000000" w:themeColor="text1"/>
        </w:rPr>
        <w:br/>
        <w:t>– наличия претензий, рекламаций, жалоб контрагентов и партнеров;</w:t>
      </w:r>
      <w:r>
        <w:rPr>
          <w:color w:val="000000" w:themeColor="text1"/>
        </w:rPr>
        <w:br/>
        <w:t>– ошибок и искажений в отчетности.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t xml:space="preserve">4.4. Невыплата премии полностью или частично производится за расчетный период, в котором </w:t>
      </w:r>
      <w:r>
        <w:rPr>
          <w:color w:val="000000" w:themeColor="text1"/>
        </w:rPr>
        <w:br/>
        <w:t>имело место нарушение.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5. Заключительные положения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color w:val="000000" w:themeColor="text1"/>
        </w:rPr>
      </w:pP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t xml:space="preserve">5.1. Премии, предусмотренные настоящим Положением, учитываются в составе средней </w:t>
      </w:r>
      <w:r>
        <w:rPr>
          <w:color w:val="000000" w:themeColor="text1"/>
        </w:rPr>
        <w:br/>
        <w:t xml:space="preserve">заработной платы для исчисления пенсий, отпусков, пособий по временной нетрудоспособности </w:t>
      </w:r>
      <w:r>
        <w:rPr>
          <w:color w:val="000000" w:themeColor="text1"/>
        </w:rPr>
        <w:br/>
        <w:t>и т.д.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5.2. Настоящее Положение действует до его отмены, изменения или замены новым.</w:t>
      </w:r>
    </w:p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  <w:r>
        <w:rPr>
          <w:color w:val="000000" w:themeColor="text1"/>
        </w:rPr>
        <w:t>5.3. С текстом настоящего Положения все работники должны быть ознакомлены под подпись.</w:t>
      </w:r>
    </w:p>
    <w:p w:rsidR="004C1212" w:rsidRDefault="004C121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 w:themeColor="text1"/>
        </w:rPr>
      </w:pPr>
    </w:p>
    <w:tbl>
      <w:tblPr>
        <w:tblW w:w="9375" w:type="dxa"/>
        <w:tblInd w:w="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0"/>
        <w:gridCol w:w="1110"/>
        <w:gridCol w:w="1950"/>
        <w:gridCol w:w="1665"/>
        <w:gridCol w:w="1620"/>
      </w:tblGrid>
      <w:tr w:rsidR="004C1212">
        <w:tc>
          <w:tcPr>
            <w:tcW w:w="3030" w:type="dxa"/>
            <w:shd w:val="clear" w:color="auto" w:fill="auto"/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8" w:space="0" w:color="000001"/>
            </w:tcBorders>
            <w:shd w:val="clear" w:color="auto" w:fill="auto"/>
          </w:tcPr>
          <w:p w:rsidR="004C1212" w:rsidRPr="002E6CF7" w:rsidRDefault="002E6CF7">
            <w:pPr>
              <w:rPr>
                <w:rFonts w:ascii="Segoe Print" w:hAnsi="Segoe Print"/>
                <w:b/>
                <w:color w:val="000000" w:themeColor="text1"/>
                <w:sz w:val="22"/>
                <w:szCs w:val="22"/>
              </w:rPr>
            </w:pPr>
            <w:r w:rsidRPr="002E6CF7">
              <w:rPr>
                <w:rFonts w:ascii="Segoe Print" w:hAnsi="Segoe Print"/>
                <w:b/>
                <w:color w:val="0000FF"/>
                <w:sz w:val="22"/>
                <w:szCs w:val="22"/>
              </w:rPr>
              <w:t>Смирнова</w:t>
            </w: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Pr="002E6CF7" w:rsidRDefault="003B5B9A" w:rsidP="003B5B9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E6CF7">
              <w:rPr>
                <w:rStyle w:val="fill"/>
                <w:b w:val="0"/>
                <w:i w:val="0"/>
                <w:color w:val="auto"/>
              </w:rPr>
              <w:t>В. Ф. Смирнова</w:t>
            </w:r>
          </w:p>
        </w:tc>
      </w:tr>
      <w:tr w:rsidR="004C1212">
        <w:tc>
          <w:tcPr>
            <w:tcW w:w="3030" w:type="dxa"/>
            <w:shd w:val="clear" w:color="auto" w:fill="auto"/>
          </w:tcPr>
          <w:p w:rsidR="004C1212" w:rsidRDefault="00A754A4" w:rsidP="003B5B9A"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29.</w:t>
            </w:r>
            <w:r w:rsidR="003B5B9A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11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.20</w:t>
            </w:r>
            <w:r w:rsidR="003B5B9A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1"/>
            </w:tcBorders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4C1212" w:rsidP="003B5B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303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4C1212" w:rsidP="003B5B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3030" w:type="dxa"/>
            <w:shd w:val="clear" w:color="auto" w:fill="auto"/>
          </w:tcPr>
          <w:p w:rsidR="004C1212" w:rsidRDefault="00A754A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Руководитель отдела кадров</w:t>
            </w: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8" w:space="0" w:color="000001"/>
            </w:tcBorders>
            <w:shd w:val="clear" w:color="auto" w:fill="auto"/>
          </w:tcPr>
          <w:p w:rsidR="004C1212" w:rsidRPr="00253895" w:rsidRDefault="002E6CF7">
            <w:pPr>
              <w:rPr>
                <w:rFonts w:ascii="Segoe Print" w:hAnsi="Segoe Print"/>
                <w:b/>
                <w:color w:val="000000" w:themeColor="text1"/>
                <w:sz w:val="22"/>
                <w:szCs w:val="22"/>
              </w:rPr>
            </w:pPr>
            <w:r w:rsidRPr="00253895">
              <w:rPr>
                <w:rFonts w:ascii="Segoe Print" w:hAnsi="Segoe Print"/>
                <w:b/>
                <w:color w:val="0000FF"/>
                <w:sz w:val="22"/>
                <w:szCs w:val="22"/>
              </w:rPr>
              <w:t>Иванов</w:t>
            </w: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2E6CF7" w:rsidP="002E6CF7">
            <w:pPr>
              <w:rPr>
                <w:color w:val="000000" w:themeColor="text1"/>
              </w:rPr>
            </w:pP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И. И</w:t>
            </w:r>
            <w:r w:rsidR="00A754A4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Иванов</w:t>
            </w:r>
          </w:p>
        </w:tc>
      </w:tr>
      <w:tr w:rsidR="004C1212">
        <w:tc>
          <w:tcPr>
            <w:tcW w:w="3030" w:type="dxa"/>
            <w:shd w:val="clear" w:color="auto" w:fill="auto"/>
          </w:tcPr>
          <w:p w:rsidR="004C1212" w:rsidRDefault="00A754A4" w:rsidP="003B5B9A"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29.</w:t>
            </w:r>
            <w:r w:rsidR="003B5B9A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  <w:r w:rsidR="007133B1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.20</w:t>
            </w:r>
            <w:r w:rsidR="003B5B9A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10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1"/>
            </w:tcBorders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C1212" w:rsidRDefault="004C1212" w:rsidP="003B5B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303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1212" w:rsidRDefault="004C1212" w:rsidP="003B5B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>
        <w:tc>
          <w:tcPr>
            <w:tcW w:w="303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1212" w:rsidRDefault="004C1212" w:rsidP="003B5B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C1212" w:rsidTr="00D3220A">
        <w:trPr>
          <w:trHeight w:hRule="exact" w:val="140"/>
        </w:trPr>
        <w:tc>
          <w:tcPr>
            <w:tcW w:w="303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C1212" w:rsidRDefault="004C1212">
            <w:pPr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1212" w:rsidRDefault="004C1212" w:rsidP="003B5B9A">
            <w:pPr>
              <w:rPr>
                <w:color w:val="000000" w:themeColor="text1"/>
              </w:rPr>
            </w:pPr>
          </w:p>
        </w:tc>
      </w:tr>
    </w:tbl>
    <w:p w:rsidR="004C1212" w:rsidRDefault="00A754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sectPr w:rsidR="004C1212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7D" w:rsidRDefault="0085577D">
      <w:r>
        <w:separator/>
      </w:r>
    </w:p>
  </w:endnote>
  <w:endnote w:type="continuationSeparator" w:id="0">
    <w:p w:rsidR="0085577D" w:rsidRDefault="0085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7D" w:rsidRDefault="0085577D">
      <w:r>
        <w:separator/>
      </w:r>
    </w:p>
  </w:footnote>
  <w:footnote w:type="continuationSeparator" w:id="0">
    <w:p w:rsidR="0085577D" w:rsidRDefault="0085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12" w:rsidRDefault="004C1212">
    <w:pPr>
      <w:pStyle w:val="a4"/>
    </w:pPr>
    <w:bookmarkStart w:id="1" w:name="OLE_LINK1"/>
    <w:bookmarkEnd w:id="1"/>
  </w:p>
  <w:p w:rsidR="004C1212" w:rsidRDefault="004C1212">
    <w:pPr>
      <w:pStyle w:val="a4"/>
    </w:pPr>
  </w:p>
  <w:p w:rsidR="004C1212" w:rsidRDefault="004C12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2"/>
    <w:rsid w:val="00253895"/>
    <w:rsid w:val="002E6CF7"/>
    <w:rsid w:val="003B5B9A"/>
    <w:rsid w:val="004C1212"/>
    <w:rsid w:val="005F5192"/>
    <w:rsid w:val="007133B1"/>
    <w:rsid w:val="0085577D"/>
    <w:rsid w:val="008B0CCE"/>
    <w:rsid w:val="00A262E7"/>
    <w:rsid w:val="00A754A4"/>
    <w:rsid w:val="00BF3C45"/>
    <w:rsid w:val="00D3220A"/>
    <w:rsid w:val="00E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E9E4-0215-4611-ACC1-0E2595C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0C7A71"/>
  </w:style>
  <w:style w:type="character" w:customStyle="1" w:styleId="a5">
    <w:name w:val="Нижний колонтитул Знак"/>
    <w:basedOn w:val="a0"/>
    <w:link w:val="a6"/>
    <w:uiPriority w:val="99"/>
    <w:qFormat/>
    <w:rsid w:val="000C7A71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0C7A71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qFormat/>
    <w:rsid w:val="00C128CC"/>
    <w:rPr>
      <w:b/>
      <w:bCs/>
      <w:i/>
      <w:iCs/>
      <w:color w:val="FF000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5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qFormat/>
    <w:rsid w:val="000C7A7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qFormat/>
    <w:rsid w:val="00C128CC"/>
    <w:pPr>
      <w:spacing w:beforeAutospacing="1" w:afterAutospacing="1"/>
    </w:pPr>
    <w:rPr>
      <w:sz w:val="22"/>
      <w:szCs w:val="22"/>
    </w:rPr>
  </w:style>
  <w:style w:type="table" w:styleId="af">
    <w:name w:val="Table Grid"/>
    <w:basedOn w:val="a1"/>
    <w:uiPriority w:val="59"/>
    <w:rsid w:val="000C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33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Анна</cp:lastModifiedBy>
  <cp:revision>10</cp:revision>
  <dcterms:created xsi:type="dcterms:W3CDTF">2019-08-01T11:24:00Z</dcterms:created>
  <dcterms:modified xsi:type="dcterms:W3CDTF">2022-10-18T20:19:00Z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